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5cc4735911e148a5b44b064d8aabe5bd"/>
        <w:lock w:val="sdtLocked"/>
        <w:richText/>
      </w:sdtPr>
      <w:sdtContent>
        <w:tbl>
          <w:tblPr>
            <w:tblW w:w="9558" w:type="dxa"/>
            <w:jc w:val="center"/>
            <w:tblLayout w:type="fixed"/>
            <w:tblLook w:val="0000" w:firstRow="0" w:lastRow="0" w:firstColumn="0" w:lastColumn="0" w:noHBand="0" w:noVBand="0"/>
          </w:tblPr>
          <w:tblGrid>
            <w:gridCol w:w="9558"/>
          </w:tblGrid>
          <w:tr w14:paraId="4566FBB8" w14:textId="77777777">
            <w:trPr>
              <w:trHeight w:val="1985"/>
              <w:jc w:val="center"/>
            </w:trPr>
            <w:tc>
              <w:tcPr>
                <w:tcW w:w="9558" w:type="dxa"/>
              </w:tcPr>
              <w:p w14:paraId="329737DE" w14:textId="77777777">
                <w:pPr>
                  <w:tabs>
                    <w:tab w:val="center" w:pos="4153"/>
                    <w:tab w:val="right" w:pos="8306"/>
                  </w:tabs>
                  <w:rPr>
                    <w:rFonts w:ascii="Arial" w:hAnsi="Arial"/>
                    <w:sz w:val="22"/>
                    <w:lang w:val="en-US"/>
                  </w:rPr>
                </w:pPr>
              </w:p>
              <w:p w14:paraId="42F68B59" w14:textId="77777777">
                <w:pPr>
                  <w:jc w:val="center"/>
                  <w:rPr>
                    <w:b/>
                    <w:caps/>
                    <w:szCs w:val="24"/>
                  </w:rPr>
                </w:pPr>
                <w:r>
                  <w:rPr>
                    <w:spacing w:val="20"/>
                    <w:sz w:val="16"/>
                    <w:szCs w:val="24"/>
                  </w:rPr>
                  <w:object w:dxaOrig="931" w:dyaOrig="1036" w14:anchorId="07EB47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4317358" r:id="rId8"/>
                  </w:object>
                </w:r>
              </w:p>
              <w:p w14:paraId="074CAE80" w14:textId="6642DC48">
                <w:pPr>
                  <w:jc w:val="center"/>
                  <w:rPr>
                    <w:b/>
                    <w:caps/>
                    <w:szCs w:val="24"/>
                  </w:rPr>
                </w:pPr>
                <w:r>
                  <w:rPr>
                    <w:b/>
                    <w:caps/>
                    <w:szCs w:val="24"/>
                  </w:rPr>
                  <w:t>TELŠIŲ RAJONO SAVIVALDYBĖS</w:t>
                </w:r>
              </w:p>
              <w:p w14:paraId="23CF1DD2" w14:textId="77777777">
                <w:pPr>
                  <w:jc w:val="center"/>
                  <w:rPr>
                    <w:b/>
                    <w:caps/>
                    <w:szCs w:val="24"/>
                  </w:rPr>
                </w:pPr>
                <w:r>
                  <w:rPr>
                    <w:b/>
                    <w:caps/>
                    <w:szCs w:val="24"/>
                  </w:rPr>
                  <w:t>MERAS</w:t>
                </w:r>
              </w:p>
              <w:p w14:paraId="073989C5" w14:textId="6250B8C6">
                <w:pPr>
                  <w:jc w:val="center"/>
                  <w:rPr>
                    <w:b/>
                    <w:sz w:val="20"/>
                  </w:rPr>
                </w:pPr>
              </w:p>
            </w:tc>
          </w:tr>
          <w:tr w14:paraId="00353175" w14:textId="77777777">
            <w:trPr>
              <w:trHeight w:val="345"/>
              <w:jc w:val="center"/>
            </w:trPr>
            <w:tc>
              <w:tcPr>
                <w:tcW w:w="9558" w:type="dxa"/>
                <w:vAlign w:val="bottom"/>
              </w:tcPr>
              <w:p w14:paraId="22E9D8F7" w14:textId="77777777">
                <w:pPr>
                  <w:jc w:val="center"/>
                  <w:rPr>
                    <w:b/>
                    <w:caps/>
                    <w:szCs w:val="24"/>
                  </w:rPr>
                </w:pPr>
                <w:r>
                  <w:rPr>
                    <w:b/>
                    <w:caps/>
                    <w:szCs w:val="24"/>
                  </w:rPr>
                  <w:t>POTVARKIS</w:t>
                </w:r>
              </w:p>
            </w:tc>
          </w:tr>
          <w:tr w14:paraId="713C2735" w14:textId="77777777">
            <w:trPr>
              <w:trHeight w:val="284"/>
              <w:jc w:val="center"/>
            </w:trPr>
            <w:tc>
              <w:tcPr>
                <w:tcW w:w="9558" w:type="dxa"/>
                <w:vAlign w:val="bottom"/>
              </w:tcPr>
              <w:p w14:paraId="13B7120D" w14:textId="293987F0">
                <w:pPr>
                  <w:jc w:val="center"/>
                  <w:rPr>
                    <w:b/>
                    <w:szCs w:val="24"/>
                  </w:rPr>
                </w:pPr>
                <w:r>
                  <w:rPr>
                    <w:b/>
                    <w:szCs w:val="24"/>
                  </w:rPr>
                  <w:t>DĖL BENDROJO NAUDOJIMO OBJEKTŲ ADMINISTRATORIAUS VEIKLOS TERMINO PRATĘSIMO</w:t>
                </w:r>
              </w:p>
            </w:tc>
          </w:tr>
          <w:tr w14:paraId="73DE9854" w14:textId="77777777">
            <w:trPr>
              <w:trHeight w:val="284"/>
              <w:jc w:val="center"/>
            </w:trPr>
            <w:tc>
              <w:tcPr>
                <w:tcW w:w="9558" w:type="dxa"/>
                <w:vAlign w:val="bottom"/>
              </w:tcPr>
              <w:p w14:paraId="2BB90416" w14:textId="77777777">
                <w:pPr>
                  <w:jc w:val="center"/>
                  <w:rPr>
                    <w:bCs/>
                    <w:szCs w:val="24"/>
                  </w:rPr>
                </w:pPr>
              </w:p>
            </w:tc>
          </w:tr>
          <w:tr w14:paraId="78985072" w14:textId="77777777">
            <w:trPr>
              <w:trHeight w:val="284"/>
              <w:jc w:val="center"/>
            </w:trPr>
            <w:tc>
              <w:tcPr>
                <w:tcW w:w="9558" w:type="dxa"/>
                <w:vAlign w:val="bottom"/>
              </w:tcPr>
              <w:p w14:paraId="3D86D4A3" w14:textId="29A8EBE9">
                <w:pPr>
                  <w:jc w:val="center"/>
                  <w:rPr>
                    <w:bCs/>
                    <w:szCs w:val="24"/>
                  </w:rPr>
                </w:pPr>
                <w:r>
                  <w:rPr>
                    <w:bCs/>
                    <w:szCs w:val="24"/>
                  </w:rPr>
                  <w:t>2026 m. birželio 30 d. Nr. M1-457</w:t>
                </w:r>
              </w:p>
            </w:tc>
          </w:tr>
          <w:tr w14:paraId="3E109925" w14:textId="77777777">
            <w:trPr>
              <w:trHeight w:val="284"/>
              <w:jc w:val="center"/>
            </w:trPr>
            <w:tc>
              <w:tcPr>
                <w:tcW w:w="9558" w:type="dxa"/>
                <w:vAlign w:val="bottom"/>
              </w:tcPr>
              <w:p w14:paraId="06532073" w14:textId="77777777">
                <w:pPr>
                  <w:ind w:firstLine="62"/>
                  <w:jc w:val="center"/>
                  <w:rPr>
                    <w:bCs/>
                    <w:szCs w:val="24"/>
                  </w:rPr>
                </w:pPr>
                <w:r>
                  <w:rPr>
                    <w:bCs/>
                    <w:szCs w:val="24"/>
                  </w:rPr>
                  <w:t>Telšiai </w:t>
                </w:r>
              </w:p>
            </w:tc>
          </w:tr>
        </w:tbl>
        <w:p w14:paraId="1DCFF137" w14:textId="77777777">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0" w:footer="567" w:gutter="0"/>
              <w:cols w:space="1296"/>
              <w:titlePg/>
              <w:docGrid w:linePitch="326"/>
            </w:sectPr>
          </w:pPr>
        </w:p>
        <w:p w14:paraId="395BDA11" w14:textId="77777777">
          <w:pPr>
            <w:tabs>
              <w:tab w:val="center" w:pos="4153"/>
              <w:tab w:val="right" w:pos="8306"/>
            </w:tabs>
            <w:rPr>
              <w:rFonts w:ascii="Arial" w:hAnsi="Arial"/>
              <w:sz w:val="22"/>
              <w:lang w:val="en-US"/>
            </w:rPr>
          </w:pPr>
        </w:p>
        <w:p w14:paraId="1B25EF92" w14:textId="1FDA2CA1">
          <w:pPr>
            <w:jc w:val="both"/>
            <w:textAlignment w:val="baseline"/>
            <w:rPr>
              <w:color w:val="000000"/>
              <w:szCs w:val="24"/>
              <w:lang w:val="en-GB"/>
            </w:rPr>
          </w:pPr>
        </w:p>
      </w:sdtContent>
    </w:sdt>
    <w:sdt>
      <w:sdtPr>
        <w:alias w:val="pastraipa"/>
        <w:tag w:val="part_3056ba4070bb48a4a2a8dedc3bb2301e"/>
        <w:lock w:val="sdtLocked"/>
        <w:richText/>
      </w:sdtPr>
      <w:sdtContent>
        <w:p w14:paraId="196469D7" w14:textId="2536A2F5">
          <w:pPr>
            <w:ind w:firstLine="720"/>
            <w:jc w:val="both"/>
            <w:textAlignment w:val="baseline"/>
            <w:rPr>
              <w:color w:val="000000"/>
              <w:szCs w:val="24"/>
            </w:rPr>
          </w:pPr>
          <w:r>
            <w:rPr>
              <w:szCs w:val="24"/>
            </w:rPr>
            <w:t>Vadovaudamasis Lietuvos Respublikos vietos savivaldos įstatymo 25 straipsnio 5 dalimi,  Lietuvos Respublikos civilinio kodekso 4.84 straipsnio 2 ir 4 dalimis</w:t>
          </w:r>
          <w:r>
            <w:rPr>
              <w:color w:val="000000"/>
              <w:szCs w:val="24"/>
            </w:rPr>
            <w:t>:</w:t>
          </w:r>
        </w:p>
        <w:sdt>
          <w:sdtPr>
            <w:alias w:val="1 p."/>
            <w:tag w:val="part_8db1e3d3549545a280b4957cdca27114"/>
            <w:lock w:val="sdtLocked"/>
            <w:richText/>
          </w:sdtPr>
          <w:sdtContent>
            <w:p w14:paraId="7394C8E1" w14:textId="1B89B8A0">
              <w:pPr>
                <w:suppressAutoHyphens/>
                <w:ind w:firstLine="720"/>
                <w:jc w:val="both"/>
                <w:textAlignment w:val="baseline"/>
                <w:rPr>
                  <w:szCs w:val="24"/>
                </w:rPr>
              </w:pPr>
              <w:sdt>
                <w:sdtPr>
                  <w:alias w:val="Numeris"/>
                  <w:tag w:val="nr_8db1e3d3549545a280b4957cdca27114"/>
                  <w:lock w:val="sdtLocked"/>
                  <w:richText/>
                </w:sdtPr>
                <w:sdtContent>
                  <w:r>
                    <w:rPr>
                      <w:szCs w:val="24"/>
                    </w:rPr>
                    <w:t>1</w:t>
                  </w:r>
                </w:sdtContent>
              </w:sdt>
              <w:r>
                <w:rPr>
                  <w:szCs w:val="24"/>
                </w:rPr>
                <w:t xml:space="preserve">. </w:t>
              </w:r>
              <w:r>
                <w:rPr>
                  <w:color w:val="000000"/>
                  <w:spacing w:val="50"/>
                  <w:szCs w:val="24"/>
                </w:rPr>
                <w:t>Pratęsiu</w:t>
              </w:r>
              <w:r>
                <w:rPr>
                  <w:szCs w:val="24"/>
                </w:rPr>
                <w:t xml:space="preserve"> uždarosios akcinės bendrovės Telšių butų ūkio (anksčiau žinoma kaip savivaldybės įmonė Telšių būtų ūkis, buveinės adresas: Telšiai, Plungės g. 29, įmonės kodas – 180102018, duomenys kaupiami ir saugomi Juridinių asmenų registre, PVM mokėtojo kodas – LT801020113) paskyrimą šių daugiabučių bendrojo naudojimo objektų administratoriumi: </w:t>
              </w:r>
            </w:p>
            <w:sdt>
              <w:sdtPr>
                <w:alias w:val="1.1 pp."/>
                <w:tag w:val="part_b5934ac431bb4507b0497225ef20dde9"/>
                <w:lock w:val="sdtLocked"/>
                <w:richText/>
              </w:sdtPr>
              <w:sdtContent>
                <w:p w14:paraId="6FCD2962" w14:textId="2DC2A77F">
                  <w:pPr>
                    <w:suppressAutoHyphens/>
                    <w:ind w:firstLine="720"/>
                    <w:jc w:val="both"/>
                    <w:textAlignment w:val="baseline"/>
                    <w:rPr>
                      <w:szCs w:val="24"/>
                    </w:rPr>
                  </w:pPr>
                  <w:sdt>
                    <w:sdtPr>
                      <w:alias w:val="Numeris"/>
                      <w:tag w:val="nr_b5934ac431bb4507b0497225ef20dde9"/>
                      <w:lock w:val="sdtLocked"/>
                      <w:richText/>
                    </w:sdtPr>
                    <w:sdtContent>
                      <w:r>
                        <w:rPr>
                          <w:szCs w:val="24"/>
                        </w:rPr>
                        <w:t>1.1</w:t>
                      </w:r>
                    </w:sdtContent>
                  </w:sdt>
                  <w:r>
                    <w:rPr>
                      <w:szCs w:val="24"/>
                    </w:rPr>
                    <w:t>. Respublikos g. 17, Telšiuose, pastato unikalus numeris 7892-0002-2019, naudingas plotas – 152,18 m</w:t>
                  </w:r>
                  <w:r>
                    <w:rPr>
                      <w:szCs w:val="24"/>
                      <w:vertAlign w:val="superscript"/>
                    </w:rPr>
                    <w:t>2</w:t>
                  </w:r>
                  <w:r>
                    <w:rPr>
                      <w:szCs w:val="24"/>
                    </w:rPr>
                    <w:t>, gyvenamųjų patalpų skaičius – 4;</w:t>
                  </w:r>
                </w:p>
              </w:sdtContent>
            </w:sdt>
            <w:sdt>
              <w:sdtPr>
                <w:alias w:val="1.2 pp."/>
                <w:tag w:val="part_a21ff34e612744fcb915dcaf39911a27"/>
                <w:lock w:val="sdtLocked"/>
                <w:richText/>
              </w:sdtPr>
              <w:sdtContent>
                <w:p w14:paraId="65CDDD2C" w14:textId="5F7ABBA3">
                  <w:pPr>
                    <w:suppressAutoHyphens/>
                    <w:ind w:firstLine="720"/>
                    <w:jc w:val="both"/>
                    <w:textAlignment w:val="baseline"/>
                    <w:rPr>
                      <w:szCs w:val="24"/>
                    </w:rPr>
                  </w:pPr>
                  <w:sdt>
                    <w:sdtPr>
                      <w:alias w:val="Numeris"/>
                      <w:tag w:val="nr_a21ff34e612744fcb915dcaf39911a27"/>
                      <w:lock w:val="sdtLocked"/>
                      <w:richText/>
                    </w:sdtPr>
                    <w:sdtContent>
                      <w:r>
                        <w:rPr>
                          <w:szCs w:val="24"/>
                        </w:rPr>
                        <w:t>1.2</w:t>
                      </w:r>
                    </w:sdtContent>
                  </w:sdt>
                  <w:r>
                    <w:rPr>
                      <w:szCs w:val="24"/>
                    </w:rPr>
                    <w:t>. Šviesos g. 21, Telšiuose, pastato unikalus numeris 7897-7003-4016, naudingas plotas – 1071,80 m</w:t>
                  </w:r>
                  <w:r>
                    <w:rPr>
                      <w:szCs w:val="24"/>
                      <w:vertAlign w:val="superscript"/>
                    </w:rPr>
                    <w:t>2</w:t>
                  </w:r>
                  <w:r>
                    <w:rPr>
                      <w:szCs w:val="24"/>
                    </w:rPr>
                    <w:t>, gyvenamųjų patalpų skaičius – 22;</w:t>
                  </w:r>
                </w:p>
              </w:sdtContent>
            </w:sdt>
            <w:sdt>
              <w:sdtPr>
                <w:alias w:val="1.3 pp."/>
                <w:tag w:val="part_bef87d4dd0fa4afa9e29a1aea964d2ba"/>
                <w:lock w:val="sdtLocked"/>
                <w:richText/>
              </w:sdtPr>
              <w:sdtContent>
                <w:p w14:paraId="60B28C3D" w14:textId="0159E5DE">
                  <w:pPr>
                    <w:suppressAutoHyphens/>
                    <w:ind w:firstLine="720"/>
                    <w:jc w:val="both"/>
                    <w:textAlignment w:val="baseline"/>
                    <w:rPr>
                      <w:szCs w:val="24"/>
                    </w:rPr>
                  </w:pPr>
                  <w:sdt>
                    <w:sdtPr>
                      <w:alias w:val="Numeris"/>
                      <w:tag w:val="nr_bef87d4dd0fa4afa9e29a1aea964d2ba"/>
                      <w:lock w:val="sdtLocked"/>
                      <w:richText/>
                    </w:sdtPr>
                    <w:sdtContent>
                      <w:r>
                        <w:rPr>
                          <w:szCs w:val="24"/>
                        </w:rPr>
                        <w:t>1.3</w:t>
                      </w:r>
                    </w:sdtContent>
                  </w:sdt>
                  <w:r>
                    <w:rPr>
                      <w:szCs w:val="24"/>
                    </w:rPr>
                    <w:t>. I. Vaišvilos g. 4, Ubiškės k., Tryškių sen., Telšių r., pastato unikalus numeris 7898-6011-1015, naudingas plotas – 747,57 m², gyvenamųjų patalpų skaičius – 14, negyvenamosios paskirties patalpų skaičius – 6.</w:t>
                  </w:r>
                </w:p>
              </w:sdtContent>
            </w:sdt>
          </w:sdtContent>
        </w:sdt>
        <w:sdt>
          <w:sdtPr>
            <w:alias w:val="2 p."/>
            <w:tag w:val="part_b09f4013a10b4f62b9661d110296372c"/>
            <w:lock w:val="sdtLocked"/>
            <w:richText/>
          </w:sdtPr>
          <w:sdtContent>
            <w:p w14:paraId="134148E2" w14:textId="535C5E08">
              <w:pPr>
                <w:suppressAutoHyphens/>
                <w:ind w:firstLine="720"/>
                <w:jc w:val="both"/>
                <w:textAlignment w:val="baseline"/>
                <w:rPr>
                  <w:szCs w:val="24"/>
                </w:rPr>
              </w:pPr>
              <w:sdt>
                <w:sdtPr>
                  <w:alias w:val="Numeris"/>
                  <w:tag w:val="nr_b09f4013a10b4f62b9661d110296372c"/>
                  <w:lock w:val="sdtLocked"/>
                  <w:richText/>
                </w:sdtPr>
                <w:sdtContent>
                  <w:r>
                    <w:rPr>
                      <w:szCs w:val="24"/>
                    </w:rPr>
                    <w:t>2</w:t>
                  </w:r>
                </w:sdtContent>
              </w:sdt>
              <w:r>
                <w:rPr>
                  <w:szCs w:val="24"/>
                </w:rPr>
                <w:t xml:space="preserve">. </w:t>
              </w:r>
              <w:r>
                <w:rPr>
                  <w:spacing w:val="50"/>
                  <w:szCs w:val="24"/>
                </w:rPr>
                <w:t>Nustatau</w:t>
              </w:r>
              <w:r>
                <w:rPr>
                  <w:szCs w:val="24"/>
                </w:rPr>
                <w:t xml:space="preserve">, kad: </w:t>
              </w:r>
            </w:p>
            <w:sdt>
              <w:sdtPr>
                <w:alias w:val="2.1 pp."/>
                <w:tag w:val="part_296e595b5c614159aa239982856dae34"/>
                <w:lock w:val="sdtLocked"/>
                <w:richText/>
              </w:sdtPr>
              <w:sdtContent>
                <w:p w14:paraId="4A95B5D5" w14:textId="6CF271E3">
                  <w:pPr>
                    <w:suppressAutoHyphens/>
                    <w:ind w:firstLine="720"/>
                    <w:jc w:val="both"/>
                    <w:textAlignment w:val="baseline"/>
                    <w:rPr>
                      <w:szCs w:val="24"/>
                    </w:rPr>
                  </w:pPr>
                  <w:sdt>
                    <w:sdtPr>
                      <w:alias w:val="Numeris"/>
                      <w:tag w:val="nr_296e595b5c614159aa239982856dae34"/>
                      <w:lock w:val="sdtLocked"/>
                      <w:richText/>
                    </w:sdtPr>
                    <w:sdtContent>
                      <w:r>
                        <w:rPr>
                          <w:szCs w:val="24"/>
                        </w:rPr>
                        <w:t>2.1</w:t>
                      </w:r>
                    </w:sdtContent>
                  </w:sdt>
                  <w:r>
                    <w:rPr>
                      <w:szCs w:val="24"/>
                    </w:rPr>
                    <w:t>. bendrojo naudojimo objektų administratorius skiriamas penkerių metų laikotarpiui, skaičiuojant nuo 2026 m. liepos 7 d.;</w:t>
                  </w:r>
                </w:p>
              </w:sdtContent>
            </w:sdt>
            <w:sdt>
              <w:sdtPr>
                <w:alias w:val="2.2 pp."/>
                <w:tag w:val="part_d6b4be5dc9da4e058b7c3d7e00d79277"/>
                <w:lock w:val="sdtLocked"/>
                <w:richText/>
              </w:sdtPr>
              <w:sdtContent>
                <w:p w14:paraId="6C6D7AE7" w14:textId="64FE988C">
                  <w:pPr>
                    <w:suppressAutoHyphens/>
                    <w:ind w:firstLine="720"/>
                    <w:jc w:val="both"/>
                    <w:textAlignment w:val="baseline"/>
                    <w:rPr>
                      <w:szCs w:val="24"/>
                    </w:rPr>
                  </w:pPr>
                  <w:sdt>
                    <w:sdtPr>
                      <w:alias w:val="Numeris"/>
                      <w:tag w:val="nr_d6b4be5dc9da4e058b7c3d7e00d79277"/>
                      <w:lock w:val="sdtLocked"/>
                      <w:richText/>
                    </w:sdtPr>
                    <w:sdtContent>
                      <w:r>
                        <w:rPr>
                          <w:szCs w:val="24"/>
                        </w:rPr>
                        <w:t>2.2</w:t>
                      </w:r>
                    </w:sdtContent>
                  </w:sdt>
                  <w:r>
                    <w:rPr>
                      <w:szCs w:val="24"/>
                    </w:rPr>
                    <w:t>. likus šešiems mėnesiams iki administratoriaus paskyrimo termino pabaigos, jei bus gauta bent 1/5 daugiabučių namų butų ir kitų patalpų savininkų pageidavimų raštu spręsti bendrojo naudojimo objektų administratoriaus paskyrimo klausimą iš naujo arba Telšių rajono savivaldybės administracija gaus butų ir kitų patalpų savininkų pagrįstų nusiskundimų dėl administratoriaus veiklos, bendrojo naudojimo objektų administratoriaus skyrimo procedūra bus pradedama iš naujo;</w:t>
                  </w:r>
                </w:p>
              </w:sdtContent>
            </w:sdt>
            <w:sdt>
              <w:sdtPr>
                <w:alias w:val="2.3 pp."/>
                <w:tag w:val="part_b5ba43fa0d7948a2b3dbda303b17245b"/>
                <w:lock w:val="sdtLocked"/>
                <w:richText/>
              </w:sdtPr>
              <w:sdtContent>
                <w:p w14:paraId="3F10D78B" w14:textId="19904302">
                  <w:pPr>
                    <w:suppressAutoHyphens/>
                    <w:ind w:firstLine="720"/>
                    <w:jc w:val="both"/>
                    <w:textAlignment w:val="baseline"/>
                    <w:rPr>
                      <w:szCs w:val="24"/>
                    </w:rPr>
                  </w:pPr>
                  <w:sdt>
                    <w:sdtPr>
                      <w:alias w:val="Numeris"/>
                      <w:tag w:val="nr_b5ba43fa0d7948a2b3dbda303b17245b"/>
                      <w:lock w:val="sdtLocked"/>
                      <w:richText/>
                    </w:sdtPr>
                    <w:sdtContent>
                      <w:r>
                        <w:rPr>
                          <w:szCs w:val="24"/>
                        </w:rPr>
                        <w:t>2.3</w:t>
                      </w:r>
                    </w:sdtContent>
                  </w:sdt>
                  <w:r>
                    <w:rPr>
                      <w:szCs w:val="24"/>
                    </w:rPr>
                    <w:t>. nesant šio potvarkio 2.2 papunktyje nurodytų pageidavimų ir nusiskundimų, bendrojo naudojimo objektų administratoriaus veikla bus pratęsta kitų penkerių metų laikotarpiui;</w:t>
                  </w:r>
                </w:p>
              </w:sdtContent>
            </w:sdt>
            <w:sdt>
              <w:sdtPr>
                <w:alias w:val="2.4 pp."/>
                <w:tag w:val="part_a5c2c7553cd243d09adcf20862381df8"/>
                <w:lock w:val="sdtLocked"/>
                <w:richText/>
              </w:sdtPr>
              <w:sdtContent>
                <w:p w14:paraId="0429D16E" w14:textId="22BD791A">
                  <w:pPr>
                    <w:suppressAutoHyphens/>
                    <w:ind w:firstLine="720"/>
                    <w:jc w:val="both"/>
                    <w:textAlignment w:val="baseline"/>
                    <w:rPr>
                      <w:szCs w:val="24"/>
                    </w:rPr>
                  </w:pPr>
                  <w:sdt>
                    <w:sdtPr>
                      <w:alias w:val="Numeris"/>
                      <w:tag w:val="nr_a5c2c7553cd243d09adcf20862381df8"/>
                      <w:lock w:val="sdtLocked"/>
                      <w:richText/>
                    </w:sdtPr>
                    <w:sdtContent>
                      <w:r>
                        <w:rPr>
                          <w:szCs w:val="24"/>
                        </w:rPr>
                        <w:t>2.4</w:t>
                      </w:r>
                    </w:sdtContent>
                  </w:sdt>
                  <w:r>
                    <w:rPr>
                      <w:szCs w:val="24"/>
                    </w:rPr>
                    <w:t>. butų ir kitų patalpų savininkai balsų dauguma turi teisę priimti sprendimą pakeisti bendrojo naudojimo objektų administratorių ir nesuėjus penkerių metų terminui arba sustabdyti jo įgaliojimus įsteigdami gyvenamojo namo butų ir kitų patalpų savininkų bendriją arba sudarydami jungtinės veiklos sutartį.</w:t>
                  </w:r>
                </w:p>
              </w:sdtContent>
            </w:sdt>
          </w:sdtContent>
        </w:sdt>
        <w:sdt>
          <w:sdtPr>
            <w:alias w:val="3 p."/>
            <w:tag w:val="part_81a16016f06d4f22b5785431c06ce7d2"/>
            <w:lock w:val="sdtLocked"/>
            <w:richText/>
          </w:sdtPr>
          <w:sdtContent>
            <w:p w14:paraId="211BC9C9" w14:textId="48A2CA66">
              <w:pPr>
                <w:ind w:firstLine="720"/>
                <w:jc w:val="both"/>
                <w:rPr>
                  <w:color w:val="000000"/>
                  <w:szCs w:val="24"/>
                </w:rPr>
              </w:pPr>
              <w:sdt>
                <w:sdtPr>
                  <w:alias w:val="Numeris"/>
                  <w:tag w:val="nr_81a16016f06d4f22b5785431c06ce7d2"/>
                  <w:lock w:val="sdtLocked"/>
                  <w:richText/>
                </w:sdtPr>
                <w:sdtContent>
                  <w:r>
                    <w:rPr>
                      <w:color w:val="000000"/>
                      <w:szCs w:val="24"/>
                    </w:rPr>
                    <w:t>3</w:t>
                  </w:r>
                </w:sdtContent>
              </w:sdt>
              <w:r>
                <w:rPr>
                  <w:color w:val="000000"/>
                  <w:szCs w:val="24"/>
                </w:rPr>
                <w:t xml:space="preserve">. </w:t>
              </w:r>
              <w:r>
                <w:rPr>
                  <w:color w:val="000000"/>
                  <w:spacing w:val="50"/>
                  <w:szCs w:val="24"/>
                </w:rPr>
                <w:t>Pavedu</w:t>
              </w:r>
              <w:r>
                <w:rPr>
                  <w:color w:val="000000"/>
                  <w:szCs w:val="24"/>
                </w:rPr>
                <w:t xml:space="preserve">: </w:t>
              </w:r>
            </w:p>
            <w:sdt>
              <w:sdtPr>
                <w:alias w:val="3.1 pp."/>
                <w:tag w:val="part_23c125f836584ea28c3469074f95ce98"/>
                <w:lock w:val="sdtLocked"/>
                <w:richText/>
              </w:sdtPr>
              <w:sdtContent>
                <w:p w14:paraId="4218EA27" w14:textId="0C832C98">
                  <w:pPr>
                    <w:ind w:firstLine="720"/>
                    <w:jc w:val="both"/>
                    <w:rPr>
                      <w:color w:val="000000"/>
                      <w:szCs w:val="24"/>
                    </w:rPr>
                  </w:pPr>
                  <w:sdt>
                    <w:sdtPr>
                      <w:alias w:val="Numeris"/>
                      <w:tag w:val="nr_23c125f836584ea28c3469074f95ce98"/>
                      <w:lock w:val="sdtLocked"/>
                      <w:richText/>
                    </w:sdtPr>
                    <w:sdtContent>
                      <w:r>
                        <w:rPr>
                          <w:color w:val="000000"/>
                          <w:szCs w:val="24"/>
                        </w:rPr>
                        <w:t>3.1</w:t>
                      </w:r>
                    </w:sdtContent>
                  </w:sdt>
                  <w:r>
                    <w:rPr>
                      <w:color w:val="000000"/>
                      <w:szCs w:val="24"/>
                    </w:rPr>
                    <w:t xml:space="preserve">. uždarajai akcinei bendrovei Telšių butų ūkiui apskaičiuojant bendrojo naudojimo objektų administravimo paslaugų tarifus vadovautis Telšių rajono savivaldybės daugiabučių gyvenamųjų namų bendrojo naudojimo objektų maksimalių administravimo mokesčių tarifų apskaičiavimo tvarkos aprašu, patvirtintu Telšių rajono savivaldybės tarybos 2014 m. birželio 26 d. sprendimu Nr. T1-221 „Dėl Telšių rajono savivaldybės daugiabučių gyvenamųjų namų bendrojo naudojimo objektų maksimalių administravimo mokesčio tarifų apskaičiavimo tvarkos aprašo patvirtinimo“ (Telšių rajono savivaldybės tarybos 2025 m. balandžio 30 d. sprendimo Nr. T1-166 redakcija), ir </w:t>
                  </w:r>
                  <w:r>
                    <w:rPr>
                      <w:szCs w:val="24"/>
                    </w:rPr>
                    <w:t>Asmenų, pretenduojančių teikti bendrojo naudojimo objektų administravimo paslaugas, sąrašu, patvirtintu Telšių rajono savivaldybės administracijos 2026 m. balandžio 10 d. direktoriaus įsakymu Nr. A1-476 „Dėl asmenų, pretenduojančių teikti daugiabučių namų bendrojo naudojimo objektų administravimo paslaugas Telšių rajono savivaldybės teritorijoje, sąrašo patvirtinimo“</w:t>
                  </w:r>
                  <w:r>
                    <w:rPr>
                      <w:color w:val="000000"/>
                      <w:szCs w:val="24"/>
                    </w:rPr>
                    <w:t>;</w:t>
                  </w:r>
                </w:p>
              </w:sdtContent>
            </w:sdt>
            <w:sdt>
              <w:sdtPr>
                <w:alias w:val="3.2 pp."/>
                <w:tag w:val="part_e70a36a3a4b44557842bd045d24b41b8"/>
                <w:lock w:val="sdtLocked"/>
                <w:richText/>
              </w:sdtPr>
              <w:sdtContent>
                <w:p w14:paraId="50DBB49B" w14:textId="2EBACEED">
                  <w:pPr>
                    <w:ind w:firstLine="720"/>
                    <w:jc w:val="both"/>
                    <w:rPr>
                      <w:color w:val="000000"/>
                      <w:szCs w:val="24"/>
                    </w:rPr>
                  </w:pPr>
                  <w:sdt>
                    <w:sdtPr>
                      <w:alias w:val="Numeris"/>
                      <w:tag w:val="nr_e70a36a3a4b44557842bd045d24b41b8"/>
                      <w:lock w:val="sdtLocked"/>
                      <w:richText/>
                    </w:sdtPr>
                    <w:sdtContent>
                      <w:r>
                        <w:rPr>
                          <w:color w:val="000000"/>
                          <w:szCs w:val="24"/>
                        </w:rPr>
                        <w:t>3.2</w:t>
                      </w:r>
                    </w:sdtContent>
                  </w:sdt>
                  <w:r>
                    <w:rPr>
                      <w:color w:val="000000"/>
                      <w:szCs w:val="24"/>
                    </w:rPr>
                    <w:t>. uždarajai akcinei bendrovei Telšių butų ūkiui įregistruoti Nekilnojamojo turto registre šio potvarkio 1 punkte nurodytų daugiabučių gyvenamųjų namų bendrojo naudojimo objektų administravimo faktą;</w:t>
                  </w:r>
                </w:p>
              </w:sdtContent>
            </w:sdt>
            <w:sdt>
              <w:sdtPr>
                <w:alias w:val="3.3 pp."/>
                <w:tag w:val="part_bfd2fb344d3b4607826e964226bca472"/>
                <w:lock w:val="sdtLocked"/>
                <w:richText/>
              </w:sdtPr>
              <w:sdtContent>
                <w:p w14:paraId="7405B6B1" w14:textId="0CD7B366">
                  <w:pPr>
                    <w:ind w:firstLine="720"/>
                    <w:jc w:val="both"/>
                    <w:rPr>
                      <w:color w:val="000000"/>
                      <w:szCs w:val="24"/>
                    </w:rPr>
                  </w:pPr>
                  <w:sdt>
                    <w:sdtPr>
                      <w:alias w:val="Numeris"/>
                      <w:tag w:val="nr_bfd2fb344d3b4607826e964226bca472"/>
                      <w:lock w:val="sdtLocked"/>
                      <w:richText/>
                    </w:sdtPr>
                    <w:sdtContent>
                      <w:r>
                        <w:rPr>
                          <w:color w:val="000000"/>
                          <w:szCs w:val="24"/>
                        </w:rPr>
                        <w:t>3.3</w:t>
                      </w:r>
                    </w:sdtContent>
                  </w:sdt>
                  <w:r>
                    <w:rPr>
                      <w:color w:val="000000"/>
                      <w:szCs w:val="24"/>
                    </w:rPr>
                    <w:t>. uždarajai akcinei bendrovei Telšių butų ūkiui apie administratoriaus paskyrimą paskelbti šio potvarkio 1 punkte nurodytų daugiabučių gyvenamųjų namų bendrojo naudojimo patalpose (skelbimų lentose).</w:t>
                  </w:r>
                </w:p>
                <w:p w14:paraId="7A11BF16" w14:textId="731F32EF">
                  <w:pPr>
                    <w:ind w:firstLine="720"/>
                    <w:jc w:val="both"/>
                    <w:rPr>
                      <w:szCs w:val="24"/>
                    </w:rPr>
                  </w:pPr>
                  <w:r>
                    <w:rPr>
                      <w:color w:val="000000"/>
                      <w:szCs w:val="24"/>
                    </w:rPr>
                    <w:t>Šis potvarkis per vieną mėnesį nuo jo įsigaliojimo dienos gali būti skundžiamas Lietuvos administracinių ginčų komisijos Šiaulių apygardos skyriui (Dvaro g. 81, Šiauliai) Lietuvos Respublikos ikiteisminio administracinių ginčų nagrinėjimo tvarkos įstatymo nustatyta tvarka arba Regionų apygardos administracinio teismo Šiaulių rūmams (Dvaro g. 80, Šiauliai) Lietuvos Respublikos administracinių bylų teisenos įstatymo nustatyta tvarka.</w:t>
                  </w:r>
                </w:p>
                <w:p w14:paraId="2AD4F8D0" w14:textId="6B4DB97C">
                  <w:pPr>
                    <w:jc w:val="both"/>
                    <w:rPr>
                      <w:szCs w:val="24"/>
                    </w:rPr>
                  </w:pPr>
                </w:p>
              </w:sdtContent>
            </w:sdt>
          </w:sdtContent>
        </w:sdt>
        <w:sdt>
          <w:sdtPr>
            <w:alias w:val="signatura"/>
            <w:tag w:val="part_044d1dcbe90240f2a2bfc899cd36f67f"/>
            <w:lock w:val="sdtLocked"/>
            <w:richText/>
          </w:sdtPr>
          <w:sdtContent>
            <w:p w14:paraId="01D42811" w14:textId="5F3262EE">
              <w:pPr>
                <w:rPr>
                  <w:szCs w:val="24"/>
                </w:rPr>
              </w:pPr>
              <w:r>
                <w:rPr>
                  <w:szCs w:val="24"/>
                </w:rPr>
                <w:t>Savivaldybės meras</w:t>
                <w:tab/>
                <w:tab/>
                <w:tab/>
                <w:tab/>
                <w:tab/>
                <w:tab/>
                <w:tab/>
                <w:tab/>
                <w:tab/>
                <w:t xml:space="preserve"> Tomas Katkus</w:t>
              </w:r>
            </w:p>
            <w:p w14:paraId="2B0A24BF" w14:textId="07F59DA3">
              <w:pPr>
                <w:rPr>
                  <w:szCs w:val="24"/>
                </w:rPr>
              </w:pPr>
            </w:p>
            <w:p w14:paraId="74AD1B3A" w14:textId="32224D46">
              <w:pPr>
                <w:rPr>
                  <w:szCs w:val="24"/>
                </w:rPr>
              </w:pPr>
            </w:p>
            <w:p w14:paraId="68FB3332" w14:textId="4158FFCD">
              <w:pPr>
                <w:rPr>
                  <w:szCs w:val="24"/>
                </w:rPr>
              </w:pPr>
            </w:p>
            <w:p w14:paraId="0E5A1FF6" w14:textId="6A8F393E">
              <w:pPr>
                <w:rPr>
                  <w:szCs w:val="24"/>
                </w:rPr>
              </w:pPr>
            </w:p>
            <w:p w14:paraId="139401E7" w14:textId="3C29A011">
              <w:pPr>
                <w:rPr>
                  <w:szCs w:val="24"/>
                </w:rPr>
              </w:pPr>
            </w:p>
            <w:p w14:paraId="23EE71B6" w14:textId="5512B271">
              <w:pPr>
                <w:rPr>
                  <w:szCs w:val="24"/>
                </w:rPr>
              </w:pPr>
            </w:p>
            <w:p w14:paraId="17CE34D9" w14:textId="71F836D9">
              <w:pPr>
                <w:rPr>
                  <w:szCs w:val="24"/>
                </w:rPr>
              </w:pPr>
            </w:p>
            <w:p w14:paraId="5A5D134C" w14:textId="1197F209">
              <w:pPr>
                <w:rPr>
                  <w:szCs w:val="24"/>
                </w:rPr>
              </w:pPr>
            </w:p>
            <w:p w14:paraId="0D2CFDCB" w14:textId="2ABE4CA1">
              <w:pPr>
                <w:rPr>
                  <w:szCs w:val="24"/>
                </w:rPr>
              </w:pPr>
            </w:p>
            <w:p w14:paraId="618E7AC1" w14:textId="5D145AF3">
              <w:pPr>
                <w:rPr>
                  <w:szCs w:val="24"/>
                </w:rPr>
              </w:pPr>
            </w:p>
            <w:p w14:paraId="70F1F60A" w14:textId="7D6331C5">
              <w:pPr>
                <w:rPr>
                  <w:szCs w:val="24"/>
                </w:rPr>
              </w:pPr>
            </w:p>
            <w:p w14:paraId="617943EE" w14:textId="2E86EED5">
              <w:pPr>
                <w:rPr>
                  <w:szCs w:val="24"/>
                </w:rPr>
              </w:pPr>
            </w:p>
            <w:p w14:paraId="09852E55" w14:textId="45101D40">
              <w:pPr>
                <w:rPr>
                  <w:szCs w:val="24"/>
                </w:rPr>
              </w:pPr>
            </w:p>
            <w:p w14:paraId="163EEFC0" w14:textId="0BD78C63">
              <w:pPr>
                <w:rPr>
                  <w:szCs w:val="24"/>
                </w:rPr>
              </w:pPr>
            </w:p>
            <w:p w14:paraId="67316B95" w14:textId="768F3423">
              <w:pPr>
                <w:rPr>
                  <w:szCs w:val="24"/>
                </w:rPr>
              </w:pPr>
            </w:p>
            <w:p w14:paraId="6ED0185A" w14:textId="277AEA7B">
              <w:pPr>
                <w:rPr>
                  <w:szCs w:val="24"/>
                </w:rPr>
              </w:pPr>
            </w:p>
            <w:p w14:paraId="31824188" w14:textId="1B519CBA">
              <w:pPr>
                <w:rPr>
                  <w:szCs w:val="24"/>
                </w:rPr>
              </w:pPr>
            </w:p>
            <w:p w14:paraId="24F6409F" w14:textId="53BC4680">
              <w:pPr>
                <w:rPr>
                  <w:szCs w:val="24"/>
                </w:rPr>
              </w:pPr>
            </w:p>
            <w:p w14:paraId="78E977E9" w14:textId="4F160F6E">
              <w:pPr>
                <w:rPr>
                  <w:szCs w:val="24"/>
                </w:rPr>
              </w:pPr>
            </w:p>
            <w:p w14:paraId="1C5ADF5B" w14:textId="533757A7">
              <w:pPr>
                <w:rPr>
                  <w:szCs w:val="24"/>
                </w:rPr>
              </w:pPr>
            </w:p>
            <w:p w14:paraId="0D2A852D" w14:textId="4909DC7B">
              <w:pPr>
                <w:rPr>
                  <w:szCs w:val="24"/>
                </w:rPr>
              </w:pPr>
            </w:p>
            <w:p w14:paraId="1A5C32F4" w14:textId="15990F4C">
              <w:pPr>
                <w:rPr>
                  <w:szCs w:val="24"/>
                </w:rPr>
              </w:pPr>
            </w:p>
            <w:p w14:paraId="2BEC9D6B" w14:textId="1B96A3D1">
              <w:pPr>
                <w:rPr>
                  <w:szCs w:val="24"/>
                </w:rPr>
              </w:pPr>
            </w:p>
            <w:p w14:paraId="7D175739" w14:textId="192D730E">
              <w:pPr>
                <w:rPr>
                  <w:szCs w:val="24"/>
                </w:rPr>
              </w:pPr>
            </w:p>
            <w:p w14:paraId="7FA3AE75" w14:textId="48164D95">
              <w:pPr>
                <w:rPr>
                  <w:szCs w:val="24"/>
                </w:rPr>
              </w:pPr>
            </w:p>
            <w:p w14:paraId="1AAB37E8" w14:textId="19861F37">
              <w:pPr>
                <w:rPr>
                  <w:szCs w:val="24"/>
                </w:rPr>
              </w:pPr>
            </w:p>
            <w:p w14:paraId="496841F1" w14:textId="5F0E6087">
              <w:pPr>
                <w:tabs>
                  <w:tab w:val="left" w:pos="1485"/>
                </w:tabs>
                <w:rPr>
                  <w:szCs w:val="24"/>
                </w:rPr>
              </w:pPr>
            </w:p>
            <w:p w14:paraId="5D516325" w14:textId="77777777">
              <w:pPr>
                <w:tabs>
                  <w:tab w:val="left" w:pos="1485"/>
                </w:tabs>
                <w:rPr>
                  <w:szCs w:val="24"/>
                </w:rPr>
              </w:pPr>
            </w:p>
            <w:p w14:paraId="3ABE72EE" w14:textId="133CBB32">
              <w:pPr>
                <w:rPr>
                  <w:szCs w:val="24"/>
                </w:rPr>
              </w:pPr>
            </w:p>
            <w:p w14:paraId="1BE62BE2" w14:textId="47F9DDF5">
              <w:pPr>
                <w:rPr>
                  <w:szCs w:val="24"/>
                </w:rPr>
              </w:pPr>
            </w:p>
            <w:p w14:paraId="749AAAF8" w14:textId="77777777">
              <w:pPr>
                <w:rPr>
                  <w:szCs w:val="24"/>
                </w:rPr>
              </w:pPr>
            </w:p>
            <w:p w14:paraId="7F6E0926" w14:textId="77777777">
              <w:pPr>
                <w:rPr>
                  <w:szCs w:val="24"/>
                </w:rPr>
              </w:pPr>
            </w:p>
            <w:p w14:paraId="57C4D13A" w14:textId="117433BC">
              <w:pPr>
                <w:rPr>
                  <w:szCs w:val="24"/>
                </w:rPr>
              </w:pPr>
            </w:p>
            <w:p w14:paraId="178B301D" w14:textId="60DD53BB">
              <w:pPr>
                <w:rPr>
                  <w:szCs w:val="24"/>
                </w:rPr>
              </w:pPr>
              <w:r>
                <w:rPr>
                  <w:szCs w:val="24"/>
                </w:rPr>
                <w:t>Parengė</w:t>
              </w:r>
            </w:p>
            <w:p w14:paraId="4EA08C89" w14:textId="77777777">
              <w:pPr>
                <w:rPr>
                  <w:szCs w:val="24"/>
                </w:rPr>
              </w:pPr>
            </w:p>
            <w:p w14:paraId="4A41AF16" w14:textId="436FA345">
              <w:pPr>
                <w:rPr>
                  <w:i/>
                  <w:iCs/>
                  <w:szCs w:val="24"/>
                </w:rPr>
              </w:pPr>
              <w:r>
                <w:rPr>
                  <w:i/>
                  <w:iCs/>
                  <w:szCs w:val="24"/>
                </w:rPr>
                <w:t>(duomenys neskelbiami)</w:t>
              </w:r>
            </w:p>
            <w:p w14:paraId="54E6BEF9" w14:textId="11D4C648">
              <w:pPr>
                <w:rPr>
                  <w:szCs w:val="24"/>
                </w:rPr>
              </w:pPr>
              <w:r>
                <w:rPr>
                  <w:szCs w:val="24"/>
                </w:rPr>
                <w:t>2026-06-</w:t>
              </w:r>
            </w:p>
          </w:sdtContent>
        </w:sdt>
      </w:sdtContent>
    </w:sdt>
    <w:sectPr>
      <w:type w:val="continuous"/>
      <w:pgSz w:w="11906" w:h="16838" w:code="9"/>
      <w:pgMar w:top="1134" w:right="567" w:bottom="1134" w:left="1701" w:header="567" w:footer="567"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BF3E38" w14:textId="77777777">
      <w:pPr>
        <w:rPr>
          <w:szCs w:val="24"/>
          <w:lang w:val="en-GB"/>
        </w:rPr>
      </w:pPr>
      <w:r>
        <w:rPr>
          <w:szCs w:val="24"/>
          <w:lang w:val="en-GB"/>
        </w:rPr>
        <w:separator/>
      </w:r>
    </w:p>
  </w:endnote>
  <w:endnote w:type="continuationSeparator" w:id="0">
    <w:p w14:paraId="0090CC54"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A32DF"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947C52" w14:textId="5F505541">
    <w:pPr>
      <w:tabs>
        <w:tab w:val="center" w:pos="4153"/>
        <w:tab w:val="right" w:pos="8306"/>
      </w:tabs>
      <w:jc w:val="right"/>
      <w:rPr>
        <w:szCs w:val="24"/>
        <w:lang w:val="en-US"/>
      </w:rPr>
    </w:pPr>
  </w:p>
  <w:p w14:paraId="284248B7"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3E347"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F79272" w14:textId="77777777">
      <w:pPr>
        <w:rPr>
          <w:szCs w:val="24"/>
          <w:lang w:val="en-GB"/>
        </w:rPr>
      </w:pPr>
      <w:r>
        <w:rPr>
          <w:szCs w:val="24"/>
          <w:lang w:val="en-GB"/>
        </w:rPr>
        <w:separator/>
      </w:r>
    </w:p>
  </w:footnote>
  <w:footnote w:type="continuationSeparator" w:id="0">
    <w:p w14:paraId="0968469E"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1CBB4"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1A109528"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44ABA" w14:textId="7A58AFA1">
    <w:pPr>
      <w:tabs>
        <w:tab w:val="center" w:pos="4153"/>
        <w:tab w:val="right" w:pos="8306"/>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6986ABC3"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1355E6"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D0742C6"/>
  <w15:chartTrackingRefBased/>
  <w15:docId w15:val="{833D0B3F-01AD-43C0-AFA9-1AEEE29C89D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5841754">
      <w:bodyDiv w:val="1"/>
      <w:marLeft w:val="0"/>
      <w:marRight w:val="0"/>
      <w:marTop w:val="0"/>
      <w:marBottom w:val="0"/>
      <w:divBdr>
        <w:top w:val="none" w:sz="0" w:space="0" w:color="auto"/>
        <w:left w:val="none" w:sz="0" w:space="0" w:color="auto"/>
        <w:bottom w:val="none" w:sz="0" w:space="0" w:color="auto"/>
        <w:right w:val="none" w:sz="0" w:space="0" w:color="auto"/>
      </w:divBdr>
      <w:divsChild>
        <w:div w:id="1932813913">
          <w:marLeft w:val="0"/>
          <w:marRight w:val="0"/>
          <w:marTop w:val="0"/>
          <w:marBottom w:val="0"/>
          <w:divBdr>
            <w:top w:val="none" w:sz="0" w:space="0" w:color="auto"/>
            <w:left w:val="none" w:sz="0" w:space="0" w:color="auto"/>
            <w:bottom w:val="none" w:sz="0" w:space="0" w:color="auto"/>
            <w:right w:val="none" w:sz="0" w:space="0" w:color="auto"/>
          </w:divBdr>
          <w:divsChild>
            <w:div w:id="281109337">
              <w:marLeft w:val="0"/>
              <w:marRight w:val="0"/>
              <w:marTop w:val="0"/>
              <w:marBottom w:val="0"/>
              <w:divBdr>
                <w:top w:val="none" w:sz="0" w:space="0" w:color="auto"/>
                <w:left w:val="none" w:sz="0" w:space="0" w:color="auto"/>
                <w:bottom w:val="none" w:sz="0" w:space="0" w:color="auto"/>
                <w:right w:val="none" w:sz="0" w:space="0" w:color="auto"/>
              </w:divBdr>
              <w:divsChild>
                <w:div w:id="1422948965">
                  <w:marLeft w:val="0"/>
                  <w:marRight w:val="0"/>
                  <w:marTop w:val="0"/>
                  <w:marBottom w:val="0"/>
                  <w:divBdr>
                    <w:top w:val="none" w:sz="0" w:space="0" w:color="auto"/>
                    <w:left w:val="none" w:sz="0" w:space="0" w:color="auto"/>
                    <w:bottom w:val="none" w:sz="0" w:space="0" w:color="auto"/>
                    <w:right w:val="none" w:sz="0" w:space="0" w:color="auto"/>
                  </w:divBdr>
                  <w:divsChild>
                    <w:div w:id="956447056">
                      <w:marLeft w:val="0"/>
                      <w:marRight w:val="0"/>
                      <w:marTop w:val="0"/>
                      <w:marBottom w:val="0"/>
                      <w:divBdr>
                        <w:top w:val="none" w:sz="0" w:space="0" w:color="auto"/>
                        <w:left w:val="none" w:sz="0" w:space="0" w:color="auto"/>
                        <w:bottom w:val="none" w:sz="0" w:space="0" w:color="auto"/>
                        <w:right w:val="none" w:sz="0" w:space="0" w:color="auto"/>
                      </w:divBdr>
                      <w:divsChild>
                        <w:div w:id="126846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708171">
      <w:bodyDiv w:val="1"/>
      <w:marLeft w:val="0"/>
      <w:marRight w:val="0"/>
      <w:marTop w:val="0"/>
      <w:marBottom w:val="0"/>
      <w:divBdr>
        <w:top w:val="none" w:sz="0" w:space="0" w:color="auto"/>
        <w:left w:val="none" w:sz="0" w:space="0" w:color="auto"/>
        <w:bottom w:val="none" w:sz="0" w:space="0" w:color="auto"/>
        <w:right w:val="none" w:sz="0" w:space="0" w:color="auto"/>
      </w:divBdr>
      <w:divsChild>
        <w:div w:id="874003779">
          <w:marLeft w:val="0"/>
          <w:marRight w:val="0"/>
          <w:marTop w:val="0"/>
          <w:marBottom w:val="0"/>
          <w:divBdr>
            <w:top w:val="none" w:sz="0" w:space="0" w:color="auto"/>
            <w:left w:val="none" w:sz="0" w:space="0" w:color="auto"/>
            <w:bottom w:val="none" w:sz="0" w:space="0" w:color="auto"/>
            <w:right w:val="none" w:sz="0" w:space="0" w:color="auto"/>
          </w:divBdr>
        </w:div>
        <w:div w:id="1131939243">
          <w:marLeft w:val="0"/>
          <w:marRight w:val="0"/>
          <w:marTop w:val="0"/>
          <w:marBottom w:val="0"/>
          <w:divBdr>
            <w:top w:val="none" w:sz="0" w:space="0" w:color="auto"/>
            <w:left w:val="none" w:sz="0" w:space="0" w:color="auto"/>
            <w:bottom w:val="none" w:sz="0" w:space="0" w:color="auto"/>
            <w:right w:val="none" w:sz="0" w:space="0" w:color="auto"/>
          </w:divBdr>
        </w:div>
        <w:div w:id="1814253958">
          <w:marLeft w:val="0"/>
          <w:marRight w:val="0"/>
          <w:marTop w:val="0"/>
          <w:marBottom w:val="0"/>
          <w:divBdr>
            <w:top w:val="none" w:sz="0" w:space="0" w:color="auto"/>
            <w:left w:val="none" w:sz="0" w:space="0" w:color="auto"/>
            <w:bottom w:val="none" w:sz="0" w:space="0" w:color="auto"/>
            <w:right w:val="none" w:sz="0" w:space="0" w:color="auto"/>
          </w:divBdr>
        </w:div>
      </w:divsChild>
    </w:div>
    <w:div w:id="763110158">
      <w:bodyDiv w:val="1"/>
      <w:marLeft w:val="0"/>
      <w:marRight w:val="0"/>
      <w:marTop w:val="0"/>
      <w:marBottom w:val="0"/>
      <w:divBdr>
        <w:top w:val="none" w:sz="0" w:space="0" w:color="auto"/>
        <w:left w:val="none" w:sz="0" w:space="0" w:color="auto"/>
        <w:bottom w:val="none" w:sz="0" w:space="0" w:color="auto"/>
        <w:right w:val="none" w:sz="0" w:space="0" w:color="auto"/>
      </w:divBdr>
      <w:divsChild>
        <w:div w:id="2076079911">
          <w:marLeft w:val="0"/>
          <w:marRight w:val="0"/>
          <w:marTop w:val="0"/>
          <w:marBottom w:val="0"/>
          <w:divBdr>
            <w:top w:val="none" w:sz="0" w:space="0" w:color="auto"/>
            <w:left w:val="none" w:sz="0" w:space="0" w:color="auto"/>
            <w:bottom w:val="none" w:sz="0" w:space="0" w:color="auto"/>
            <w:right w:val="none" w:sz="0" w:space="0" w:color="auto"/>
          </w:divBdr>
        </w:div>
      </w:divsChild>
    </w:div>
    <w:div w:id="1236548002">
      <w:bodyDiv w:val="1"/>
      <w:marLeft w:val="0"/>
      <w:marRight w:val="0"/>
      <w:marTop w:val="0"/>
      <w:marBottom w:val="0"/>
      <w:divBdr>
        <w:top w:val="none" w:sz="0" w:space="0" w:color="auto"/>
        <w:left w:val="none" w:sz="0" w:space="0" w:color="auto"/>
        <w:bottom w:val="none" w:sz="0" w:space="0" w:color="auto"/>
        <w:right w:val="none" w:sz="0" w:space="0" w:color="auto"/>
      </w:divBdr>
      <w:divsChild>
        <w:div w:id="1701861387">
          <w:marLeft w:val="0"/>
          <w:marRight w:val="0"/>
          <w:marTop w:val="0"/>
          <w:marBottom w:val="0"/>
          <w:divBdr>
            <w:top w:val="none" w:sz="0" w:space="0" w:color="auto"/>
            <w:left w:val="none" w:sz="0" w:space="0" w:color="auto"/>
            <w:bottom w:val="none" w:sz="0" w:space="0" w:color="auto"/>
            <w:right w:val="none" w:sz="0" w:space="0" w:color="auto"/>
          </w:divBdr>
          <w:divsChild>
            <w:div w:id="949704162">
              <w:marLeft w:val="0"/>
              <w:marRight w:val="0"/>
              <w:marTop w:val="0"/>
              <w:marBottom w:val="0"/>
              <w:divBdr>
                <w:top w:val="none" w:sz="0" w:space="0" w:color="auto"/>
                <w:left w:val="none" w:sz="0" w:space="0" w:color="auto"/>
                <w:bottom w:val="none" w:sz="0" w:space="0" w:color="auto"/>
                <w:right w:val="none" w:sz="0" w:space="0" w:color="auto"/>
              </w:divBdr>
              <w:divsChild>
                <w:div w:id="705369878">
                  <w:marLeft w:val="0"/>
                  <w:marRight w:val="0"/>
                  <w:marTop w:val="0"/>
                  <w:marBottom w:val="0"/>
                  <w:divBdr>
                    <w:top w:val="none" w:sz="0" w:space="0" w:color="auto"/>
                    <w:left w:val="none" w:sz="0" w:space="0" w:color="auto"/>
                    <w:bottom w:val="none" w:sz="0" w:space="0" w:color="auto"/>
                    <w:right w:val="none" w:sz="0" w:space="0" w:color="auto"/>
                  </w:divBdr>
                  <w:divsChild>
                    <w:div w:id="924344087">
                      <w:marLeft w:val="0"/>
                      <w:marRight w:val="0"/>
                      <w:marTop w:val="0"/>
                      <w:marBottom w:val="0"/>
                      <w:divBdr>
                        <w:top w:val="none" w:sz="0" w:space="0" w:color="auto"/>
                        <w:left w:val="none" w:sz="0" w:space="0" w:color="auto"/>
                        <w:bottom w:val="none" w:sz="0" w:space="0" w:color="auto"/>
                        <w:right w:val="none" w:sz="0" w:space="0" w:color="auto"/>
                      </w:divBdr>
                      <w:divsChild>
                        <w:div w:id="204656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6060516">
      <w:bodyDiv w:val="1"/>
      <w:marLeft w:val="0"/>
      <w:marRight w:val="0"/>
      <w:marTop w:val="0"/>
      <w:marBottom w:val="0"/>
      <w:divBdr>
        <w:top w:val="none" w:sz="0" w:space="0" w:color="auto"/>
        <w:left w:val="none" w:sz="0" w:space="0" w:color="auto"/>
        <w:bottom w:val="none" w:sz="0" w:space="0" w:color="auto"/>
        <w:right w:val="none" w:sz="0" w:space="0" w:color="auto"/>
      </w:divBdr>
      <w:divsChild>
        <w:div w:id="974872802">
          <w:marLeft w:val="0"/>
          <w:marRight w:val="0"/>
          <w:marTop w:val="0"/>
          <w:marBottom w:val="0"/>
          <w:divBdr>
            <w:top w:val="none" w:sz="0" w:space="0" w:color="auto"/>
            <w:left w:val="none" w:sz="0" w:space="0" w:color="auto"/>
            <w:bottom w:val="none" w:sz="0" w:space="0" w:color="auto"/>
            <w:right w:val="none" w:sz="0" w:space="0" w:color="auto"/>
          </w:divBdr>
          <w:divsChild>
            <w:div w:id="1443068481">
              <w:marLeft w:val="0"/>
              <w:marRight w:val="0"/>
              <w:marTop w:val="0"/>
              <w:marBottom w:val="0"/>
              <w:divBdr>
                <w:top w:val="none" w:sz="0" w:space="0" w:color="auto"/>
                <w:left w:val="none" w:sz="0" w:space="0" w:color="auto"/>
                <w:bottom w:val="none" w:sz="0" w:space="0" w:color="auto"/>
                <w:right w:val="none" w:sz="0" w:space="0" w:color="auto"/>
              </w:divBdr>
            </w:div>
            <w:div w:id="150008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709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a0deb45fe9c848b09e3f8a3da5497b29" PartId="5cc4735911e148a5b44b064d8aabe5bd"/>
  <Part Type="pastraipa" DocPartId="1a1a4c50a6b84f988922d4cfb5061975" PartId="3056ba4070bb48a4a2a8dedc3bb2301e">
    <Part Type="punktas" Nr="1" Abbr="1 p." DocPartId="b5c977cb225343c5a809150da7b1eb78" PartId="8db1e3d3549545a280b4957cdca27114">
      <Part Type="papunktis" Nr="1.1" Abbr="1.1 pp." DocPartId="8362bf2427024ac9a27ce541ae0e44f2" PartId="b5934ac431bb4507b0497225ef20dde9"/>
      <Part Type="papunktis" Nr="1.2" Abbr="1.2 pp." DocPartId="604844d395ec473094f6e8f855199bef" PartId="a21ff34e612744fcb915dcaf39911a27"/>
      <Part Type="papunktis" Nr="1.3" Abbr="1.3 pp." DocPartId="1b0994b033944b05b475aadc5b57c2b1" PartId="bef87d4dd0fa4afa9e29a1aea964d2ba"/>
    </Part>
    <Part Type="punktas" Nr="2" Abbr="2 p." DocPartId="69631446943e4f72ac0be0eacb976a97" PartId="b09f4013a10b4f62b9661d110296372c">
      <Part Type="papunktis" Nr="2.1" Abbr="2.1 pp." DocPartId="b8bfc3bc2ed3441186a3e663d6b80dcb" PartId="296e595b5c614159aa239982856dae34"/>
      <Part Type="papunktis" Nr="2.2" Abbr="2.2 pp." DocPartId="2f50ffd19620452a8f442c3c2af99b13" PartId="d6b4be5dc9da4e058b7c3d7e00d79277"/>
      <Part Type="papunktis" Nr="2.3" Abbr="2.3 pp." DocPartId="f2ba1c9bc069444e8312a78e8578c59b" PartId="b5ba43fa0d7948a2b3dbda303b17245b"/>
      <Part Type="papunktis" Nr="2.4" Abbr="2.4 pp." DocPartId="b902aa3e40af4d608dc9589bfc2e71e9" PartId="a5c2c7553cd243d09adcf20862381df8"/>
    </Part>
    <Part Type="punktas" Nr="3" Abbr="3 p." DocPartId="d620d41aeb644ba49ed6953f2b0ee2fa" PartId="81a16016f06d4f22b5785431c06ce7d2">
      <Part Type="papunktis" Nr="3.1" Abbr="3.1 pp." DocPartId="0b377bdebfb6441d9f81d05128d26187" PartId="23c125f836584ea28c3469074f95ce98"/>
      <Part Type="papunktis" Nr="3.2" Abbr="3.2 pp." DocPartId="75a54950868a44b2b76d2f151dc7ad37" PartId="e70a36a3a4b44557842bd045d24b41b8"/>
      <Part Type="papunktis" Nr="3.3" Abbr="3.3 pp." DocPartId="e298e74ef79a4885b12f38fd57fbbd1c" PartId="bfd2fb344d3b4607826e964226bca472"/>
    </Part>
    <Part Type="signatura" DocPartId="24ff309db2674a02b457f7a6a2292018" PartId="044d1dcbe90240f2a2bfc899cd36f67f"/>
  </Part>
</Parts>
</file>

<file path=customXml/itemProps1.xml><?xml version="1.0" encoding="utf-8"?>
<ds:datastoreItem xmlns:ds="http://schemas.openxmlformats.org/officeDocument/2006/customXml" ds:itemID="{5FD479FE-93AE-4F0C-A7CB-106A8D625372}">
  <ds:schemaRefs>
    <ds:schemaRef ds:uri="http://schemas.openxmlformats.org/officeDocument/2006/bibliography"/>
  </ds:schemaRefs>
</ds:datastoreItem>
</file>

<file path=customXml/itemProps2.xml><?xml version="1.0" encoding="utf-8"?>
<ds:datastoreItem xmlns:ds="http://schemas.openxmlformats.org/officeDocument/2006/customXml" ds:itemID="{4E59A830-C971-47BF-98F1-26EFD0A9D6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522</Words>
  <Characters>3765</Characters>
  <Application>Microsoft Office Word</Application>
  <DocSecurity>4</DocSecurity>
  <Lines>104</Lines>
  <Paragraphs>28</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4259</CharactersWithSpaces>
  <SharedDoc>false</SharedDoc>
  <HyperlinkBase/>
  <HLinks>
    <vt:vector size="6" baseType="variant">
      <vt:variant>
        <vt:i4>7733332</vt:i4>
      </vt:variant>
      <vt:variant>
        <vt:i4>18</vt:i4>
      </vt:variant>
      <vt:variant>
        <vt:i4>0</vt:i4>
      </vt:variant>
      <vt:variant>
        <vt:i4>5</vt:i4>
      </vt:variant>
      <vt:variant>
        <vt:lpwstr>https://www.lrs.lt/pls/proj/dokpaieska.showdoc_l?p_id=1488386&amp;p_org=1058&amp;p_fix=y&amp;p_gov=n</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2026-06-30T06:35:00Z</dcterms:created>
  <dc:creator>vartotojas</dc:creator>
  <lastModifiedBy>adlibuser</lastModifiedBy>
  <lastPrinted>2023-04-18T08:48:00Z</lastPrinted>
  <dcterms:modified xsi:type="dcterms:W3CDTF">2026-06-30T06:35:00Z</dcterms:modified>
  <revision>2</revision>
  <dc:title>PROJEKTAS</dc:title>
</coreProperties>
</file>