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01D7" w14:textId="6D2DEA1A" w:rsidR="00EC025B" w:rsidRPr="009161BF" w:rsidRDefault="00EC025B" w:rsidP="009161BF">
      <w:pPr>
        <w:tabs>
          <w:tab w:val="center" w:pos="4153"/>
          <w:tab w:val="right" w:pos="8306"/>
        </w:tabs>
        <w:overflowPunct w:val="0"/>
        <w:jc w:val="both"/>
        <w:textAlignment w:val="baseline"/>
        <w:rPr>
          <w:sz w:val="16"/>
          <w:szCs w:val="16"/>
        </w:rPr>
      </w:pPr>
    </w:p>
    <w:p w14:paraId="4005D1C7" w14:textId="439F6BE9" w:rsidR="00EC025B" w:rsidRPr="009161BF" w:rsidRDefault="009161BF" w:rsidP="009161BF">
      <w:pPr>
        <w:overflowPunct w:val="0"/>
        <w:jc w:val="center"/>
        <w:textAlignment w:val="baseline"/>
        <w:rPr>
          <w:b/>
          <w:sz w:val="28"/>
          <w:szCs w:val="28"/>
        </w:rPr>
      </w:pPr>
      <w:r w:rsidRPr="009161BF">
        <w:rPr>
          <w:noProof/>
          <w:lang w:eastAsia="lt-LT"/>
        </w:rPr>
        <w:drawing>
          <wp:inline distT="0" distB="0" distL="0" distR="0" wp14:anchorId="55FB9087" wp14:editId="2EE45E71">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46556DE5" w14:textId="411E3C8D" w:rsidR="00EC025B" w:rsidRPr="009161BF" w:rsidRDefault="009161BF" w:rsidP="009161BF">
      <w:pPr>
        <w:overflowPunct w:val="0"/>
        <w:jc w:val="center"/>
        <w:textAlignment w:val="baseline"/>
        <w:rPr>
          <w:b/>
          <w:sz w:val="28"/>
          <w:szCs w:val="28"/>
        </w:rPr>
      </w:pPr>
      <w:r w:rsidRPr="009161BF">
        <w:rPr>
          <w:b/>
          <w:sz w:val="28"/>
          <w:szCs w:val="28"/>
        </w:rPr>
        <w:t>LIETUVOS RESPUBLIKOS ŽEMĖS ŪKIO MINISTRAS</w:t>
      </w:r>
    </w:p>
    <w:p w14:paraId="5665CD65" w14:textId="77777777" w:rsidR="00EC025B" w:rsidRPr="009161BF" w:rsidRDefault="00EC025B" w:rsidP="009161BF">
      <w:pPr>
        <w:overflowPunct w:val="0"/>
        <w:jc w:val="center"/>
        <w:textAlignment w:val="baseline"/>
        <w:rPr>
          <w:b/>
          <w:szCs w:val="24"/>
        </w:rPr>
      </w:pPr>
    </w:p>
    <w:p w14:paraId="4283141E" w14:textId="77777777" w:rsidR="00EC025B" w:rsidRPr="009161BF" w:rsidRDefault="009161BF" w:rsidP="009161BF">
      <w:pPr>
        <w:overflowPunct w:val="0"/>
        <w:jc w:val="center"/>
        <w:textAlignment w:val="baseline"/>
        <w:rPr>
          <w:b/>
          <w:szCs w:val="24"/>
        </w:rPr>
      </w:pPr>
      <w:r w:rsidRPr="009161BF">
        <w:rPr>
          <w:b/>
          <w:szCs w:val="24"/>
        </w:rPr>
        <w:t>ĮSAKYMAS</w:t>
      </w:r>
    </w:p>
    <w:p w14:paraId="39A7A7D4" w14:textId="77777777" w:rsidR="00EC025B" w:rsidRPr="009161BF" w:rsidRDefault="009161BF" w:rsidP="009161BF">
      <w:pPr>
        <w:overflowPunct w:val="0"/>
        <w:jc w:val="center"/>
        <w:textAlignment w:val="baseline"/>
        <w:rPr>
          <w:b/>
          <w:szCs w:val="24"/>
        </w:rPr>
      </w:pPr>
      <w:r w:rsidRPr="009161BF">
        <w:rPr>
          <w:b/>
          <w:caps/>
          <w:szCs w:val="24"/>
        </w:rPr>
        <w:t xml:space="preserve">DĖL ŽEMĖS ŪKIO MINISTRO 2016 M. SAUSIO 8 D. ĮSAKYMO NR. 3D-8 „DĖL VIETOS PLĖTROS STRATEGIJŲ, ĮGYVENDINAMŲ BENDRUOMENIŲ </w:t>
      </w:r>
      <w:r w:rsidRPr="009161BF">
        <w:rPr>
          <w:b/>
          <w:caps/>
          <w:szCs w:val="24"/>
        </w:rPr>
        <w:t>INICIJUOTOS VIETOS PLĖTROS BŪDU, ADMINISTRAVIMO TAISYKLIŲ PATVIRTINIMO“ PAKEITIMO</w:t>
      </w:r>
    </w:p>
    <w:p w14:paraId="6FDE3D30" w14:textId="77777777" w:rsidR="00EC025B" w:rsidRPr="009161BF" w:rsidRDefault="00EC025B" w:rsidP="009161BF">
      <w:pPr>
        <w:overflowPunct w:val="0"/>
        <w:jc w:val="center"/>
        <w:textAlignment w:val="baseline"/>
      </w:pPr>
    </w:p>
    <w:p w14:paraId="3BDE5E16" w14:textId="409BB82D" w:rsidR="00EC025B" w:rsidRPr="009161BF" w:rsidRDefault="009161BF" w:rsidP="009161BF">
      <w:pPr>
        <w:overflowPunct w:val="0"/>
        <w:jc w:val="center"/>
        <w:textAlignment w:val="baseline"/>
      </w:pPr>
      <w:r w:rsidRPr="009161BF">
        <w:t>2022 m. liepos 20</w:t>
      </w:r>
      <w:r w:rsidRPr="009161BF">
        <w:t xml:space="preserve"> d.  Nr. 3D-455</w:t>
      </w:r>
      <w:r w:rsidRPr="009161BF">
        <w:t xml:space="preserve"> </w:t>
      </w:r>
    </w:p>
    <w:p w14:paraId="5CCC5160" w14:textId="77777777" w:rsidR="00EC025B" w:rsidRPr="009161BF" w:rsidRDefault="009161BF" w:rsidP="009161BF">
      <w:pPr>
        <w:overflowPunct w:val="0"/>
        <w:jc w:val="center"/>
        <w:textAlignment w:val="baseline"/>
      </w:pPr>
      <w:r w:rsidRPr="009161BF">
        <w:t>Vilnius</w:t>
      </w:r>
    </w:p>
    <w:p w14:paraId="255AB27C" w14:textId="1EEA187C" w:rsidR="00EC025B" w:rsidRPr="009161BF" w:rsidRDefault="00EC025B" w:rsidP="009161BF">
      <w:pPr>
        <w:overflowPunct w:val="0"/>
        <w:jc w:val="center"/>
        <w:textAlignment w:val="baseline"/>
      </w:pPr>
    </w:p>
    <w:p w14:paraId="15BA095E" w14:textId="77777777" w:rsidR="009161BF" w:rsidRPr="009161BF" w:rsidRDefault="009161BF" w:rsidP="009161BF">
      <w:pPr>
        <w:overflowPunct w:val="0"/>
        <w:jc w:val="center"/>
        <w:textAlignment w:val="baseline"/>
      </w:pPr>
    </w:p>
    <w:p w14:paraId="4173407F" w14:textId="63E8859D" w:rsidR="00EC025B" w:rsidRPr="009161BF" w:rsidRDefault="009161BF">
      <w:pPr>
        <w:tabs>
          <w:tab w:val="left" w:pos="567"/>
          <w:tab w:val="left" w:pos="709"/>
        </w:tabs>
        <w:overflowPunct w:val="0"/>
        <w:spacing w:line="360" w:lineRule="auto"/>
        <w:ind w:firstLine="709"/>
        <w:jc w:val="both"/>
        <w:textAlignment w:val="baseline"/>
        <w:rPr>
          <w:bCs/>
          <w:szCs w:val="24"/>
        </w:rPr>
      </w:pPr>
      <w:r w:rsidRPr="009161BF">
        <w:rPr>
          <w:szCs w:val="24"/>
        </w:rPr>
        <w:t xml:space="preserve">P a k e i č i u Vietos plėtros strategijų, įgyvendinamų bendruomenių inicijuotos vietos plėtros būdu, administravimo </w:t>
      </w:r>
      <w:r w:rsidRPr="009161BF">
        <w:rPr>
          <w:szCs w:val="24"/>
        </w:rPr>
        <w:t>taisykles, patvirtintas Lietuvos Respublikos žemės ūkio ministro 2016 m. sausio 8 d. įsakymu Nr. 3D-8 „Dėl Vietos plėtros strategijų, įgyvendinamų bendruomenių inicijuotos vietos plėtros būdu, administravimo taisyklių patvirtinimo“, ir 14 punkto „</w:t>
      </w:r>
      <w:r w:rsidRPr="009161BF">
        <w:rPr>
          <w:color w:val="000000"/>
          <w:szCs w:val="24"/>
        </w:rPr>
        <w:t>Tinkamomi</w:t>
      </w:r>
      <w:r w:rsidRPr="009161BF">
        <w:rPr>
          <w:color w:val="000000"/>
          <w:szCs w:val="24"/>
        </w:rPr>
        <w:t>s finansuoti išlaidomis pripažįstamos šios VPS administravimo išlaidos, įskaitant PVM</w:t>
      </w:r>
      <w:r w:rsidRPr="009161BF">
        <w:rPr>
          <w:szCs w:val="24"/>
        </w:rPr>
        <w:t>“</w:t>
      </w:r>
      <w:r w:rsidRPr="009161BF">
        <w:rPr>
          <w:bCs/>
          <w:szCs w:val="24"/>
        </w:rPr>
        <w:t xml:space="preserve"> </w:t>
      </w:r>
      <w:r w:rsidRPr="009161BF">
        <w:rPr>
          <w:color w:val="000000"/>
          <w:szCs w:val="24"/>
        </w:rPr>
        <w:t>1.3.8 papunktį  išdėstau taip</w:t>
      </w:r>
      <w:r w:rsidRPr="009161BF">
        <w:rPr>
          <w:bCs/>
          <w:szCs w:val="24"/>
        </w:rPr>
        <w:t>:</w:t>
      </w:r>
    </w:p>
    <w:bookmarkStart w:id="0" w:name="_GoBack" w:displacedByCustomXml="next"/>
    <w:bookmarkEnd w:id="0" w:displacedByCustomXml="next"/>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3"/>
        <w:gridCol w:w="1494"/>
        <w:gridCol w:w="6710"/>
      </w:tblGrid>
      <w:tr w:rsidR="00EC025B" w:rsidRPr="009161BF" w14:paraId="33E2100F" w14:textId="77777777">
        <w:tc>
          <w:tcPr>
            <w:tcW w:w="863" w:type="dxa"/>
            <w:tcMar>
              <w:top w:w="0" w:type="dxa"/>
              <w:left w:w="108" w:type="dxa"/>
              <w:bottom w:w="0" w:type="dxa"/>
              <w:right w:w="108" w:type="dxa"/>
            </w:tcMar>
            <w:hideMark/>
          </w:tcPr>
          <w:p w14:paraId="5B45F1F3" w14:textId="77777777" w:rsidR="00EC025B" w:rsidRPr="009161BF" w:rsidRDefault="009161BF">
            <w:pPr>
              <w:overflowPunct w:val="0"/>
              <w:jc w:val="center"/>
              <w:textAlignment w:val="baseline"/>
              <w:rPr>
                <w:szCs w:val="24"/>
                <w:lang w:eastAsia="lt-LT"/>
              </w:rPr>
            </w:pPr>
            <w:r w:rsidRPr="009161BF">
              <w:rPr>
                <w:szCs w:val="24"/>
              </w:rPr>
              <w:t>„</w:t>
            </w:r>
            <w:r w:rsidRPr="009161BF">
              <w:rPr>
                <w:szCs w:val="24"/>
                <w:lang w:eastAsia="lt-LT"/>
              </w:rPr>
              <w:t>1.3.8.</w:t>
            </w:r>
          </w:p>
        </w:tc>
        <w:tc>
          <w:tcPr>
            <w:tcW w:w="1494" w:type="dxa"/>
            <w:tcMar>
              <w:top w:w="0" w:type="dxa"/>
              <w:left w:w="108" w:type="dxa"/>
              <w:bottom w:w="0" w:type="dxa"/>
              <w:right w:w="108" w:type="dxa"/>
            </w:tcMar>
            <w:hideMark/>
          </w:tcPr>
          <w:p w14:paraId="255FEF3D" w14:textId="77777777" w:rsidR="00EC025B" w:rsidRPr="009161BF" w:rsidRDefault="009161BF">
            <w:pPr>
              <w:overflowPunct w:val="0"/>
              <w:jc w:val="both"/>
              <w:textAlignment w:val="baseline"/>
              <w:rPr>
                <w:szCs w:val="24"/>
                <w:lang w:eastAsia="lt-LT"/>
              </w:rPr>
            </w:pPr>
            <w:r w:rsidRPr="009161BF">
              <w:rPr>
                <w:szCs w:val="24"/>
                <w:lang w:eastAsia="lt-LT"/>
              </w:rPr>
              <w:t>kuro išlaidos</w:t>
            </w:r>
          </w:p>
        </w:tc>
        <w:tc>
          <w:tcPr>
            <w:tcW w:w="6710" w:type="dxa"/>
            <w:tcMar>
              <w:top w:w="0" w:type="dxa"/>
              <w:left w:w="108" w:type="dxa"/>
              <w:bottom w:w="0" w:type="dxa"/>
              <w:right w:w="108" w:type="dxa"/>
            </w:tcMar>
            <w:hideMark/>
          </w:tcPr>
          <w:p w14:paraId="6C69C994" w14:textId="77777777" w:rsidR="00EC025B" w:rsidRPr="009161BF" w:rsidRDefault="009161BF">
            <w:pPr>
              <w:overflowPunct w:val="0"/>
              <w:jc w:val="both"/>
              <w:textAlignment w:val="baseline"/>
              <w:rPr>
                <w:szCs w:val="24"/>
                <w:lang w:eastAsia="lt-LT"/>
              </w:rPr>
            </w:pPr>
            <w:r w:rsidRPr="009161BF">
              <w:rPr>
                <w:szCs w:val="24"/>
                <w:lang w:eastAsia="lt-LT"/>
              </w:rPr>
              <w:t>Specialiosios išlaidų pripažinimo tinkamomis sąlygos:</w:t>
            </w:r>
          </w:p>
          <w:p w14:paraId="31672B7A" w14:textId="77777777" w:rsidR="00EC025B" w:rsidRPr="009161BF" w:rsidRDefault="009161BF">
            <w:pPr>
              <w:overflowPunct w:val="0"/>
              <w:jc w:val="both"/>
              <w:textAlignment w:val="baseline"/>
              <w:rPr>
                <w:szCs w:val="24"/>
                <w:lang w:eastAsia="lt-LT"/>
              </w:rPr>
            </w:pPr>
            <w:r w:rsidRPr="009161BF">
              <w:rPr>
                <w:szCs w:val="24"/>
                <w:lang w:eastAsia="lt-LT"/>
              </w:rPr>
              <w:t>1. tinkamomis finansuoti išlaidomis pripažįstamos VPS vykdyt</w:t>
            </w:r>
            <w:r w:rsidRPr="009161BF">
              <w:rPr>
                <w:szCs w:val="24"/>
                <w:lang w:eastAsia="lt-LT"/>
              </w:rPr>
              <w:t>ojos teisėtais pagrindais (nuosavybės teise ir (arba) pagal nuomos sutartį (įskaitant išperkamosios nuomos sutartį), ir (arba) panaudos sutartį) valdomų transporto priemonių (automobilių) (ne daugiau kaip dviejų tuo pat metu) kuro įsigijimo išlaidos;</w:t>
            </w:r>
          </w:p>
          <w:p w14:paraId="5DFBB2C6" w14:textId="77777777" w:rsidR="00EC025B" w:rsidRPr="009161BF" w:rsidRDefault="009161BF">
            <w:pPr>
              <w:overflowPunct w:val="0"/>
              <w:jc w:val="both"/>
              <w:textAlignment w:val="baseline"/>
              <w:rPr>
                <w:strike/>
                <w:szCs w:val="24"/>
                <w:lang w:eastAsia="lt-LT"/>
              </w:rPr>
            </w:pPr>
            <w:r w:rsidRPr="009161BF">
              <w:rPr>
                <w:szCs w:val="24"/>
                <w:lang w:eastAsia="lt-LT"/>
              </w:rPr>
              <w:t>2. ku</w:t>
            </w:r>
            <w:r w:rsidRPr="009161BF">
              <w:rPr>
                <w:szCs w:val="24"/>
                <w:lang w:eastAsia="lt-LT"/>
              </w:rPr>
              <w:t>ras apmokamas pagal kuro pirkimo dokumentus, atsižvelgiant į kelionių, tiesiogiai susijusių su VPS administravimu ir (arba) įgyvendinimu, dokumentuose (kelionių lapuose) nurodytą tikslų maršrutą ir nuvažiuotą kilometrų skaičių pagal transporto priemonės sp</w:t>
            </w:r>
            <w:r w:rsidRPr="009161BF">
              <w:rPr>
                <w:szCs w:val="24"/>
                <w:lang w:eastAsia="lt-LT"/>
              </w:rPr>
              <w:t xml:space="preserve">idometro rodmenis, įvertinus vidutines transporto priemonės kuro sąnaudas 100 km. </w:t>
            </w:r>
          </w:p>
          <w:p w14:paraId="1C062C66" w14:textId="77777777" w:rsidR="00EC025B" w:rsidRPr="009161BF" w:rsidRDefault="009161BF">
            <w:pPr>
              <w:overflowPunct w:val="0"/>
              <w:jc w:val="both"/>
              <w:textAlignment w:val="baseline"/>
              <w:rPr>
                <w:szCs w:val="24"/>
                <w:lang w:eastAsia="lt-LT"/>
              </w:rPr>
            </w:pPr>
            <w:r w:rsidRPr="009161BF">
              <w:rPr>
                <w:szCs w:val="24"/>
                <w:lang w:eastAsia="lt-LT"/>
              </w:rPr>
              <w:t>Netinkamomis finansuoti išlaidomis pripažįstamos netiksliai kelionių lapuose apskaitytos, kelionėms sunaudoto kuro išlaidos, t. y. nenurodžius konkretaus kelionės maršruto (</w:t>
            </w:r>
            <w:r w:rsidRPr="009161BF">
              <w:rPr>
                <w:szCs w:val="24"/>
                <w:lang w:eastAsia="lt-LT"/>
              </w:rPr>
              <w:t xml:space="preserve">iš kur į kur), kelionės tikslo, nesusijusios su VPS administravimu ir įgyvendinimu, nenurodžius transporto priemonės spidometro rodmenų kelionės pradžioje ir kelionės pabaigoje ir nepateikus duomenų, pagal kuriuos nustatytos vidutinės transporto priemonės </w:t>
            </w:r>
            <w:r w:rsidRPr="009161BF">
              <w:rPr>
                <w:szCs w:val="24"/>
                <w:lang w:eastAsia="lt-LT"/>
              </w:rPr>
              <w:t>kuro sąnaudos 100 km.</w:t>
            </w:r>
            <w:r w:rsidRPr="009161BF">
              <w:rPr>
                <w:szCs w:val="24"/>
              </w:rPr>
              <w:t>“</w:t>
            </w:r>
          </w:p>
        </w:tc>
      </w:tr>
    </w:tbl>
    <w:p w14:paraId="33124B65" w14:textId="77777777" w:rsidR="00EC025B" w:rsidRPr="009161BF" w:rsidRDefault="009161BF">
      <w:pPr>
        <w:tabs>
          <w:tab w:val="left" w:pos="851"/>
          <w:tab w:val="left" w:pos="7797"/>
        </w:tabs>
        <w:overflowPunct w:val="0"/>
        <w:spacing w:line="336" w:lineRule="auto"/>
        <w:ind w:left="-142" w:right="142" w:firstLine="142"/>
        <w:jc w:val="both"/>
        <w:textAlignment w:val="baseline"/>
        <w:rPr>
          <w:szCs w:val="24"/>
        </w:rPr>
      </w:pPr>
    </w:p>
    <w:p w14:paraId="2547EBA4" w14:textId="2ED982FC" w:rsidR="009161BF" w:rsidRPr="009161BF" w:rsidRDefault="009161BF">
      <w:pPr>
        <w:tabs>
          <w:tab w:val="left" w:pos="851"/>
          <w:tab w:val="left" w:pos="7797"/>
        </w:tabs>
        <w:overflowPunct w:val="0"/>
        <w:spacing w:line="336" w:lineRule="auto"/>
        <w:ind w:left="-142" w:right="142" w:firstLine="142"/>
        <w:jc w:val="both"/>
        <w:textAlignment w:val="baseline"/>
      </w:pPr>
    </w:p>
    <w:p w14:paraId="0E9907ED" w14:textId="615BE4F7" w:rsidR="00EC025B" w:rsidRPr="009161BF" w:rsidRDefault="009161BF" w:rsidP="009161BF">
      <w:pPr>
        <w:tabs>
          <w:tab w:val="left" w:pos="851"/>
          <w:tab w:val="left" w:pos="7655"/>
        </w:tabs>
        <w:overflowPunct w:val="0"/>
        <w:spacing w:line="336" w:lineRule="auto"/>
        <w:ind w:left="-142" w:right="142" w:firstLine="142"/>
        <w:jc w:val="both"/>
        <w:textAlignment w:val="baseline"/>
      </w:pPr>
      <w:r w:rsidRPr="009161BF">
        <w:rPr>
          <w:szCs w:val="24"/>
        </w:rPr>
        <w:t xml:space="preserve">Žemės ūkio ministras </w:t>
      </w:r>
      <w:r w:rsidRPr="009161BF">
        <w:rPr>
          <w:szCs w:val="24"/>
        </w:rPr>
        <w:tab/>
      </w:r>
      <w:r w:rsidRPr="009161BF">
        <w:rPr>
          <w:szCs w:val="24"/>
        </w:rPr>
        <w:t>Kęstutis Navickas</w:t>
      </w:r>
    </w:p>
    <w:p w14:paraId="1D6BB970" w14:textId="77777777" w:rsidR="009161BF" w:rsidRPr="009161BF" w:rsidRDefault="009161BF" w:rsidP="009161BF">
      <w:pPr>
        <w:tabs>
          <w:tab w:val="left" w:pos="851"/>
          <w:tab w:val="left" w:pos="7655"/>
        </w:tabs>
        <w:overflowPunct w:val="0"/>
        <w:spacing w:line="336" w:lineRule="auto"/>
        <w:ind w:left="-142" w:right="142" w:firstLine="142"/>
        <w:jc w:val="both"/>
        <w:textAlignment w:val="baseline"/>
        <w:rPr>
          <w:szCs w:val="24"/>
        </w:rPr>
      </w:pPr>
    </w:p>
    <w:sectPr w:rsidR="009161BF" w:rsidRPr="009161BF" w:rsidSect="009161BF">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B243" w14:textId="77777777" w:rsidR="00EC025B" w:rsidRDefault="009161BF">
      <w:pPr>
        <w:overflowPunct w:val="0"/>
        <w:jc w:val="both"/>
        <w:textAlignment w:val="baseline"/>
        <w:rPr>
          <w:lang w:val="en-GB"/>
        </w:rPr>
      </w:pPr>
      <w:r>
        <w:rPr>
          <w:lang w:val="en-GB"/>
        </w:rPr>
        <w:separator/>
      </w:r>
    </w:p>
  </w:endnote>
  <w:endnote w:type="continuationSeparator" w:id="0">
    <w:p w14:paraId="4048112F" w14:textId="77777777" w:rsidR="00EC025B" w:rsidRDefault="009161B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14D7" w14:textId="77777777" w:rsidR="00EC025B" w:rsidRDefault="00EC025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4122" w14:textId="77777777" w:rsidR="00EC025B" w:rsidRDefault="00EC025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41D3" w14:textId="77777777" w:rsidR="00EC025B" w:rsidRDefault="00EC025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DF09" w14:textId="77777777" w:rsidR="00EC025B" w:rsidRDefault="009161BF">
      <w:pPr>
        <w:overflowPunct w:val="0"/>
        <w:jc w:val="both"/>
        <w:textAlignment w:val="baseline"/>
        <w:rPr>
          <w:lang w:val="en-GB"/>
        </w:rPr>
      </w:pPr>
      <w:r>
        <w:rPr>
          <w:lang w:val="en-GB"/>
        </w:rPr>
        <w:separator/>
      </w:r>
    </w:p>
  </w:footnote>
  <w:footnote w:type="continuationSeparator" w:id="0">
    <w:p w14:paraId="15A69CAC" w14:textId="77777777" w:rsidR="00EC025B" w:rsidRDefault="009161BF">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EF83" w14:textId="77777777" w:rsidR="00EC025B" w:rsidRDefault="00EC025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2BD9" w14:textId="2EA5EF49" w:rsidR="00EC025B" w:rsidRDefault="009161B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9161BF">
      <w:rPr>
        <w:noProof/>
      </w:rPr>
      <w:t>2</w:t>
    </w:r>
    <w:r>
      <w:rPr>
        <w:lang w:val="en-GB"/>
      </w:rPr>
      <w:fldChar w:fldCharType="end"/>
    </w:r>
  </w:p>
  <w:p w14:paraId="58894064" w14:textId="77777777" w:rsidR="00EC025B" w:rsidRDefault="00EC025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E69F" w14:textId="77777777" w:rsidR="00EC025B" w:rsidRDefault="00EC025B">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AE"/>
    <w:rsid w:val="009067AE"/>
    <w:rsid w:val="009161BF"/>
    <w:rsid w:val="00EC02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2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250">
      <w:bodyDiv w:val="1"/>
      <w:marLeft w:val="0"/>
      <w:marRight w:val="0"/>
      <w:marTop w:val="0"/>
      <w:marBottom w:val="0"/>
      <w:divBdr>
        <w:top w:val="none" w:sz="0" w:space="0" w:color="auto"/>
        <w:left w:val="none" w:sz="0" w:space="0" w:color="auto"/>
        <w:bottom w:val="none" w:sz="0" w:space="0" w:color="auto"/>
        <w:right w:val="none" w:sz="0" w:space="0" w:color="auto"/>
      </w:divBdr>
    </w:div>
    <w:div w:id="466632440">
      <w:bodyDiv w:val="1"/>
      <w:marLeft w:val="0"/>
      <w:marRight w:val="0"/>
      <w:marTop w:val="0"/>
      <w:marBottom w:val="0"/>
      <w:divBdr>
        <w:top w:val="none" w:sz="0" w:space="0" w:color="auto"/>
        <w:left w:val="none" w:sz="0" w:space="0" w:color="auto"/>
        <w:bottom w:val="none" w:sz="0" w:space="0" w:color="auto"/>
        <w:right w:val="none" w:sz="0" w:space="0" w:color="auto"/>
      </w:divBdr>
    </w:div>
    <w:div w:id="10660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1779</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2023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2022-07-20T05:59:00Z</dcterms:created>
  <dcterms:modified xsi:type="dcterms:W3CDTF">2022-07-20T06:45:00Z</dcterms:modified>
  <revision>1</revision>
</coreProperties>
</file>