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VISUOMENĖS INFORMAVIMO ĮSTATYMO 16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1999 m. liepos 7 d. Nr. VIII-1308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065AB8483E1E \t _blank">
        <w:r>
          <w:rPr>
            <w:color w:val="0000FF" w:themeColor="hyperlink"/>
            <w:u w:val="single"/>
          </w:rPr>
          <w:t>71-1706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16 straipsnio 4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16 straipsnio 4 dalį ir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Valstybė rūpinasi investicijomis viešosios informacijos rengimo ir platinimo srityje. Investavimo į visuomenės informavimo rinką sąlygas nustato Lietuvos Respublikos investicijų įstatymas.“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4</DocSecurity>
  <Lines>20</Lines>
  <Paragraphs>13</Paragraphs>
  <ScaleCrop>false</ScaleCrop>
  <Company/>
  <LinksUpToDate>false</LinksUpToDate>
  <CharactersWithSpaces>558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2015-09-17T22:07:00Z</dcterms:created>
  <dc:creator>marina.buivid@gmail.com</dc:creator>
  <lastModifiedBy>Adlib User</lastModifiedBy>
  <dcterms:modified xsi:type="dcterms:W3CDTF">2015-09-17T22:07:00Z</dcterms:modified>
  <revision>2</revision>
</coreProperties>
</file>