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819"/>
          <w:tab w:val="right" w:pos="9638"/>
        </w:tabs>
      </w:pPr>
    </w:p>
    <w:p>
      <w:pPr>
        <w:tabs>
          <w:tab w:val="center" w:pos="4153"/>
          <w:tab w:val="right" w:pos="8306"/>
        </w:tabs>
        <w:rPr>
          <w:rFonts w:ascii="TimesLT" w:hAnsi="TimesLT"/>
          <w:lang w:val="en-US"/>
        </w:rPr>
      </w:pPr>
    </w:p>
    <w:p>
      <w:pPr>
        <w:tabs>
          <w:tab w:val="center" w:pos="4153"/>
          <w:tab w:val="right" w:pos="8306"/>
        </w:tabs>
        <w:rPr>
          <w:rFonts w:ascii="TimesLT" w:hAnsi="TimesLT"/>
          <w:lang w:val="en-US"/>
        </w:rPr>
      </w:pPr>
    </w:p>
    <w:p>
      <w:pPr>
        <w:jc w:val="center"/>
        <w:rPr>
          <w:caps/>
          <w:sz w:val="22"/>
        </w:rPr>
      </w:pPr>
      <w:r>
        <w:rPr>
          <w:caps/>
          <w:lang w:eastAsia="lt-LT"/>
        </w:rPr>
        <w:drawing>
          <wp:inline distT="0" distB="0" distL="0" distR="0" wp14:anchorId="3A928069" wp14:editId="3A92806A">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rPr>
      </w:pPr>
    </w:p>
    <w:p>
      <w:pPr>
        <w:jc w:val="center"/>
        <w:rPr>
          <w:b/>
          <w:bCs/>
          <w:caps/>
        </w:rPr>
      </w:pPr>
      <w:r>
        <w:rPr>
          <w:b/>
          <w:bCs/>
          <w:caps/>
        </w:rPr>
        <w:t>LIETUVOS RESPUBLIKOS</w:t>
      </w:r>
    </w:p>
    <w:p>
      <w:pPr>
        <w:jc w:val="center"/>
        <w:rPr>
          <w:caps/>
        </w:rPr>
      </w:pPr>
      <w:r>
        <w:rPr>
          <w:b/>
          <w:caps/>
        </w:rPr>
        <w:t>KŪNO KULTŪROS IR SPORTO ĮSTATYMO 41 STRAIPSNIO PAKEITIMO</w:t>
      </w:r>
    </w:p>
    <w:p>
      <w:pPr>
        <w:jc w:val="center"/>
        <w:rPr>
          <w:b/>
          <w:caps/>
          <w:spacing w:val="20"/>
          <w:sz w:val="32"/>
        </w:rPr>
      </w:pPr>
      <w:r>
        <w:rPr>
          <w:b/>
          <w:caps/>
          <w:spacing w:val="20"/>
        </w:rPr>
        <w:t>ĮSTATYMAS</w:t>
      </w:r>
    </w:p>
    <w:p>
      <w:pPr>
        <w:jc w:val="center"/>
        <w:rPr>
          <w:b/>
          <w:caps/>
        </w:rPr>
      </w:pPr>
    </w:p>
    <w:p>
      <w:pPr>
        <w:jc w:val="center"/>
        <w:rPr>
          <w:b/>
          <w:sz w:val="22"/>
        </w:rPr>
      </w:pPr>
      <w:r>
        <w:rPr>
          <w:sz w:val="22"/>
        </w:rPr>
        <w:t>2013 m. gruodžio 19 d. Nr. XII-699</w:t>
        <w:br/>
        <w:t>Vilnius</w:t>
      </w:r>
    </w:p>
    <w:p>
      <w:pPr>
        <w:jc w:val="center"/>
        <w:rPr>
          <w:sz w:val="22"/>
        </w:rPr>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1134" w:bottom="1134" w:left="1701" w:header="709" w:footer="709" w:gutter="227"/>
          <w:cols w:space="1296"/>
          <w:titlePg/>
        </w:sectPr>
      </w:pPr>
    </w:p>
    <w:p>
      <w:pPr>
        <w:tabs>
          <w:tab w:val="center" w:pos="4819"/>
          <w:tab w:val="right" w:pos="9638"/>
        </w:tabs>
      </w:pPr>
    </w:p>
    <w:p>
      <w:pPr>
        <w:tabs>
          <w:tab w:val="center" w:pos="4153"/>
          <w:tab w:val="right" w:pos="8306"/>
        </w:tabs>
        <w:rPr>
          <w:rFonts w:ascii="TimesLT" w:hAnsi="TimesLT"/>
          <w:lang w:val="en-US"/>
        </w:rPr>
      </w:pPr>
    </w:p>
    <w:p>
      <w:pPr>
        <w:spacing w:line="360" w:lineRule="atLeast"/>
        <w:ind w:firstLine="71"/>
        <w:jc w:val="center"/>
        <w:rPr>
          <w:szCs w:val="24"/>
        </w:rPr>
      </w:pPr>
      <w:r>
        <w:rPr>
          <w:bCs/>
          <w:color w:val="000000"/>
          <w:szCs w:val="24"/>
        </w:rPr>
        <w:t xml:space="preserve">(Žin., </w:t>
      </w:r>
      <w:r>
        <w:rPr>
          <w:szCs w:val="24"/>
        </w:rPr>
        <w:t xml:space="preserve">1996, Nr. </w:t>
      </w:r>
      <w:hyperlink r:id="rId14" w:history="1">
        <w:r>
          <w:rPr>
            <w:color w:val="0000FF"/>
            <w:szCs w:val="24"/>
            <w:u w:val="single"/>
          </w:rPr>
          <w:t>9-215</w:t>
        </w:r>
      </w:hyperlink>
      <w:r>
        <w:rPr>
          <w:szCs w:val="24"/>
        </w:rPr>
        <w:t xml:space="preserve">; 2008, Nr. </w:t>
      </w:r>
      <w:hyperlink r:id="rId15" w:history="1">
        <w:r>
          <w:rPr>
            <w:color w:val="0000FF"/>
            <w:szCs w:val="24"/>
            <w:u w:val="single"/>
          </w:rPr>
          <w:t>47-1752</w:t>
        </w:r>
      </w:hyperlink>
      <w:r>
        <w:rPr>
          <w:szCs w:val="24"/>
        </w:rPr>
        <w:t xml:space="preserve">; 2009, Nr. </w:t>
      </w:r>
      <w:hyperlink r:id="rId16" w:history="1">
        <w:r>
          <w:rPr>
            <w:color w:val="0000FF"/>
            <w:szCs w:val="24"/>
            <w:u w:val="single"/>
          </w:rPr>
          <w:t>144-6346</w:t>
        </w:r>
      </w:hyperlink>
      <w:r>
        <w:rPr>
          <w:szCs w:val="24"/>
        </w:rPr>
        <w:t xml:space="preserve">; 2012, Nr. </w:t>
      </w:r>
      <w:hyperlink r:id="rId17" w:history="1">
        <w:r>
          <w:rPr>
            <w:color w:val="0000FF"/>
            <w:szCs w:val="24"/>
            <w:u w:val="single"/>
          </w:rPr>
          <w:t>155-7982</w:t>
        </w:r>
      </w:hyperlink>
      <w:r>
        <w:rPr>
          <w:szCs w:val="24"/>
        </w:rPr>
        <w:t>)</w:t>
      </w:r>
    </w:p>
    <w:p>
      <w:pPr>
        <w:spacing w:line="360" w:lineRule="atLeast"/>
        <w:ind w:firstLine="720"/>
        <w:jc w:val="center"/>
        <w:rPr>
          <w:spacing w:val="-4"/>
          <w:szCs w:val="24"/>
        </w:rPr>
      </w:pPr>
    </w:p>
    <w:p>
      <w:pPr>
        <w:spacing w:line="360" w:lineRule="atLeast"/>
        <w:ind w:firstLine="720"/>
        <w:jc w:val="center"/>
        <w:rPr>
          <w:spacing w:val="-4"/>
          <w:szCs w:val="24"/>
        </w:rPr>
      </w:pPr>
    </w:p>
    <w:p>
      <w:pPr>
        <w:spacing w:line="360" w:lineRule="atLeast"/>
        <w:ind w:firstLine="720"/>
        <w:jc w:val="both"/>
        <w:rPr>
          <w:b/>
          <w:bCs/>
          <w:color w:val="000000"/>
          <w:szCs w:val="24"/>
        </w:rPr>
      </w:pPr>
      <w:r>
        <w:rPr>
          <w:b/>
          <w:bCs/>
          <w:szCs w:val="24"/>
        </w:rPr>
        <w:t>1</w:t>
      </w:r>
      <w:r>
        <w:rPr>
          <w:b/>
          <w:bCs/>
          <w:szCs w:val="24"/>
        </w:rPr>
        <w:t xml:space="preserve"> straipsnis. </w:t>
      </w:r>
      <w:r>
        <w:rPr>
          <w:b/>
          <w:bCs/>
          <w:color w:val="000000"/>
          <w:szCs w:val="24"/>
        </w:rPr>
        <w:t>41 straipsnio 1 dalies pakeitimas</w:t>
      </w:r>
    </w:p>
    <w:p>
      <w:pPr>
        <w:spacing w:line="360" w:lineRule="atLeast"/>
        <w:ind w:firstLine="720"/>
        <w:jc w:val="both"/>
        <w:rPr>
          <w:bCs/>
          <w:color w:val="000000"/>
          <w:szCs w:val="24"/>
        </w:rPr>
      </w:pPr>
      <w:r>
        <w:rPr>
          <w:bCs/>
          <w:color w:val="000000"/>
          <w:szCs w:val="24"/>
        </w:rPr>
        <w:t>Pakeisti 41 straipsnio 1 dalį ir ją išdėstyti taip:</w:t>
      </w:r>
    </w:p>
    <w:p>
      <w:pPr>
        <w:spacing w:line="360" w:lineRule="atLeast"/>
        <w:ind w:firstLine="720"/>
        <w:jc w:val="both"/>
        <w:rPr>
          <w:b/>
          <w:bCs/>
          <w:szCs w:val="24"/>
        </w:rPr>
      </w:pPr>
      <w:r>
        <w:rPr>
          <w:bCs/>
          <w:szCs w:val="24"/>
        </w:rPr>
        <w:t>„</w:t>
      </w:r>
      <w:r>
        <w:rPr>
          <w:b/>
          <w:bCs/>
          <w:szCs w:val="24"/>
        </w:rPr>
        <w:t>41</w:t>
      </w:r>
      <w:r>
        <w:rPr>
          <w:b/>
          <w:bCs/>
          <w:szCs w:val="24"/>
        </w:rPr>
        <w:t xml:space="preserve"> straipsnis. </w:t>
      </w:r>
      <w:r>
        <w:rPr>
          <w:b/>
          <w:bCs/>
          <w:szCs w:val="24"/>
        </w:rPr>
        <w:t>Rentos sportininkams mokėjimo sąlygos ir tvarka</w:t>
      </w:r>
    </w:p>
    <w:p>
      <w:pPr>
        <w:spacing w:line="360" w:lineRule="atLeast"/>
        <w:ind w:firstLine="720"/>
        <w:jc w:val="both"/>
        <w:rPr>
          <w:bCs/>
          <w:szCs w:val="24"/>
        </w:rPr>
      </w:pPr>
      <w:r>
        <w:rPr>
          <w:bCs/>
          <w:szCs w:val="24"/>
        </w:rPr>
        <w:t>1</w:t>
      </w:r>
      <w:r>
        <w:rPr>
          <w:bCs/>
          <w:szCs w:val="24"/>
        </w:rPr>
        <w:t>. Sportininkas, Lietuvos Respublikos pilietis, baigęs sportininko karjerą, nedalyvaujantis olimpinėse žaidynėse, pasaulio ir Europos čempionatuose, turi teisę gauti 1,5 Lietuvos statistikos departamento paskelbto šalies ūkio vidutinio mėnesinio darbo užmokesčio dydžio rentą per mėnesį, jeigu jis, turėdamas Lietuvos Respublikos pilietybę ir atstovaudamas Lietuvos Respublikai, tapo arba iki 2009 m. sausio 1 d. įgijo Lietuvos Respublikos pilietybę ir iki pilietybės įgijimo yra tapęs:</w:t>
      </w:r>
    </w:p>
    <w:p>
      <w:pPr>
        <w:spacing w:line="360" w:lineRule="atLeast"/>
        <w:ind w:firstLine="720"/>
        <w:jc w:val="both"/>
        <w:rPr>
          <w:bCs/>
          <w:szCs w:val="24"/>
        </w:rPr>
      </w:pPr>
      <w:r>
        <w:rPr>
          <w:bCs/>
          <w:szCs w:val="24"/>
        </w:rPr>
        <w:t>1</w:t>
      </w:r>
      <w:r>
        <w:rPr>
          <w:bCs/>
          <w:szCs w:val="24"/>
        </w:rPr>
        <w:t>) olimpinių žaidynių čempionu ar prizininku (aukso, sidabro ar bronzos medalių laimėtoju);</w:t>
      </w:r>
    </w:p>
    <w:p>
      <w:pPr>
        <w:spacing w:line="360" w:lineRule="atLeast"/>
        <w:ind w:firstLine="720"/>
        <w:jc w:val="both"/>
        <w:rPr>
          <w:bCs/>
          <w:szCs w:val="24"/>
        </w:rPr>
      </w:pPr>
      <w:r>
        <w:rPr>
          <w:bCs/>
          <w:szCs w:val="24"/>
        </w:rPr>
        <w:t>2</w:t>
      </w:r>
      <w:r>
        <w:rPr>
          <w:bCs/>
          <w:szCs w:val="24"/>
        </w:rPr>
        <w:t>) olimpinės sporto šakos olimpinės rungties Europos ar pasaulio čempionu;</w:t>
      </w:r>
    </w:p>
    <w:p>
      <w:pPr>
        <w:spacing w:line="360" w:lineRule="atLeast"/>
        <w:ind w:firstLine="720"/>
        <w:jc w:val="both"/>
        <w:rPr>
          <w:bCs/>
          <w:szCs w:val="24"/>
        </w:rPr>
      </w:pPr>
      <w:r>
        <w:rPr>
          <w:bCs/>
          <w:szCs w:val="24"/>
        </w:rPr>
        <w:t>3</w:t>
      </w:r>
      <w:r>
        <w:rPr>
          <w:bCs/>
          <w:szCs w:val="24"/>
        </w:rPr>
        <w:t>) rungties, kuri iki rezultato pasiekimo buvo išbraukta iš olimpinių žaidynių programos arba įtraukta į ją po rezultato pasiekimo, pasaulio ar Europos čempionu iki 1990 m. kovo 11 d.;</w:t>
      </w:r>
    </w:p>
    <w:p>
      <w:pPr>
        <w:spacing w:line="360" w:lineRule="atLeast"/>
        <w:ind w:firstLine="720"/>
        <w:jc w:val="both"/>
        <w:rPr>
          <w:bCs/>
          <w:szCs w:val="24"/>
        </w:rPr>
      </w:pPr>
      <w:r>
        <w:rPr>
          <w:bCs/>
          <w:szCs w:val="24"/>
        </w:rPr>
        <w:t>4</w:t>
      </w:r>
      <w:r>
        <w:rPr>
          <w:bCs/>
          <w:szCs w:val="24"/>
        </w:rPr>
        <w:t>) olimpinės sporto šakos olimpinės rungties Europos ar pasaulio, olimpinių žaidynių rekordininku;</w:t>
      </w:r>
    </w:p>
    <w:p>
      <w:pPr>
        <w:spacing w:line="360" w:lineRule="atLeast"/>
        <w:ind w:firstLine="720"/>
        <w:jc w:val="both"/>
        <w:rPr>
          <w:bCs/>
          <w:szCs w:val="24"/>
        </w:rPr>
      </w:pPr>
      <w:r>
        <w:rPr>
          <w:bCs/>
          <w:szCs w:val="24"/>
        </w:rPr>
        <w:t>5</w:t>
      </w:r>
      <w:r>
        <w:rPr>
          <w:bCs/>
          <w:szCs w:val="24"/>
        </w:rPr>
        <w:t>) parolimpinių ar kurčiųjų žaidynių nugalėtoju;</w:t>
      </w:r>
    </w:p>
    <w:p>
      <w:pPr>
        <w:spacing w:line="360" w:lineRule="atLeast"/>
        <w:ind w:firstLine="720"/>
        <w:jc w:val="both"/>
        <w:rPr>
          <w:bCs/>
          <w:szCs w:val="24"/>
        </w:rPr>
      </w:pPr>
      <w:r>
        <w:rPr>
          <w:bCs/>
          <w:szCs w:val="24"/>
        </w:rPr>
        <w:t>6</w:t>
      </w:r>
      <w:r>
        <w:rPr>
          <w:bCs/>
          <w:szCs w:val="24"/>
        </w:rPr>
        <w:t>) olimpinės sporto šakos neolimpinės rungties ir pasaulio čempionu, ir pasaulio rekordininku.“</w:t>
      </w:r>
    </w:p>
    <w:p>
      <w:pPr>
        <w:spacing w:line="360" w:lineRule="atLeast"/>
        <w:ind w:firstLine="720"/>
        <w:jc w:val="both"/>
        <w:rPr>
          <w:bCs/>
          <w:szCs w:val="24"/>
        </w:rPr>
      </w:pPr>
    </w:p>
    <w:p>
      <w:pPr>
        <w:spacing w:line="360" w:lineRule="atLeast"/>
        <w:ind w:firstLine="720"/>
        <w:rPr>
          <w:szCs w:val="24"/>
        </w:rPr>
      </w:pPr>
      <w:r>
        <w:rPr>
          <w:b/>
          <w:bCs/>
          <w:color w:val="000000"/>
          <w:szCs w:val="24"/>
        </w:rPr>
        <w:t>2</w:t>
      </w:r>
      <w:r>
        <w:rPr>
          <w:b/>
          <w:bCs/>
          <w:szCs w:val="24"/>
        </w:rPr>
        <w:t xml:space="preserve"> straipsnis. </w:t>
      </w:r>
      <w:r>
        <w:rPr>
          <w:b/>
          <w:bCs/>
          <w:szCs w:val="24"/>
        </w:rPr>
        <w:t>Įstatymo įsigaliojimas</w:t>
      </w:r>
    </w:p>
    <w:p>
      <w:pPr>
        <w:spacing w:line="360" w:lineRule="atLeast"/>
        <w:ind w:firstLine="720"/>
        <w:rPr>
          <w:szCs w:val="24"/>
        </w:rPr>
      </w:pPr>
      <w:r>
        <w:rPr>
          <w:szCs w:val="24"/>
        </w:rPr>
        <w:t>Šis įstatymas įsigalioja 2014 m. sausio 1 d.</w:t>
      </w:r>
    </w:p>
    <w:p>
      <w:pPr>
        <w:spacing w:line="360" w:lineRule="atLeast"/>
        <w:ind w:firstLine="720"/>
        <w:rPr>
          <w:b/>
          <w:bCs/>
          <w:color w:val="000000"/>
          <w:szCs w:val="24"/>
        </w:rPr>
      </w:pPr>
    </w:p>
    <w:p>
      <w:pPr>
        <w:spacing w:line="360" w:lineRule="atLeast"/>
        <w:ind w:firstLine="720"/>
        <w:jc w:val="both"/>
        <w:rPr>
          <w:i/>
          <w:szCs w:val="24"/>
        </w:rPr>
      </w:pPr>
      <w:r>
        <w:rPr>
          <w:i/>
          <w:szCs w:val="24"/>
        </w:rPr>
        <w:t xml:space="preserve">Skelbiu šį Lietuvos Respublikos Seimo priimtą įstatymą. </w:t>
      </w:r>
    </w:p>
    <w:p/>
    <w:p>
      <w:pPr>
        <w:tabs>
          <w:tab w:val="right" w:pos="8730"/>
        </w:tabs>
      </w:pPr>
      <w:r>
        <w:rPr>
          <w:caps/>
        </w:rPr>
        <w:t>RESPUBLIKOS PREZIDENTĖ</w:t>
        <w:tab/>
      </w:r>
      <w:r>
        <w:t>DALIA GRYBAUSKAITĖ</w:t>
      </w:r>
    </w:p>
    <w:sectPr>
      <w:type w:val="continuous"/>
      <w:pgSz w:w="11907" w:h="16840" w:code="9"/>
      <w:pgMar w:top="1440" w:right="1152" w:bottom="1152" w:left="2016" w:header="706" w:footer="706" w:gutter="0"/>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Pr>
        <w:rFonts w:ascii="TimesLT" w:hAnsi="TimesLT"/>
        <w:lang w:val="en-US"/>
      </w:rPr>
      <w:t>2</w:t>
    </w:r>
    <w:r>
      <w:rPr>
        <w:rFonts w:ascii="TimesLT" w:hAnsi="TimesLT"/>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E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yperlink" TargetMode="External" Target="http://www3.lrs.lt/pls/inter/dokpaieska.showdoc_l?p_id=23317"/>
  <Relationship Id="rId15" Type="http://schemas.openxmlformats.org/officeDocument/2006/relationships/hyperlink" TargetMode="External" Target="http://www3.lrs.lt/pls/inter/dokpaieska.showdoc_l?p_id=318298"/>
  <Relationship Id="rId16" Type="http://schemas.openxmlformats.org/officeDocument/2006/relationships/hyperlink" TargetMode="External" Target="http://www3.lrs.lt/pls/inter/dokpaieska.showdoc_l?p_id=359491"/>
  <Relationship Id="rId17" Type="http://schemas.openxmlformats.org/officeDocument/2006/relationships/hyperlink" TargetMode="External" Target="http://www3.lrs.lt/pls/inter/dokpaieska.showdoc_l?p_id=440508"/>
  <Relationship Id="rId18" Type="http://schemas.openxmlformats.org/officeDocument/2006/relationships/fontTable" Target="fontTable.xml"/>
  <Relationship Id="rId19"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1703</Characters>
  <Application>Microsoft Office Word</Application>
  <DocSecurity>4</DocSecurity>
  <Lines>51</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1942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2015-06-29T17:33:00Z</dcterms:created>
  <dc:creator>MANIUŠKIENĖ Violeta</dc:creator>
  <lastModifiedBy>Adlib User</lastModifiedBy>
  <lastPrinted>2013-12-19T11:30:00Z</lastPrinted>
  <dcterms:modified xsi:type="dcterms:W3CDTF">2015-06-29T17:33:00Z</dcterms:modified>
  <revision>2</revision>
</coreProperties>
</file>