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D0DF" w14:textId="77777777" w:rsidR="00B307ED" w:rsidRDefault="00964B4B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SVEIKATOS SISTEMOS ĮSTATYMO 63, 64, 67 IR 68 STRAIPSNIŲ PAKEITIMO ĮSTATYMAS</w:t>
      </w:r>
    </w:p>
    <w:p w14:paraId="3022D0E0" w14:textId="77777777" w:rsidR="00B307ED" w:rsidRDefault="00B307ED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3022D0E1" w14:textId="77777777" w:rsidR="00B307ED" w:rsidRDefault="00964B4B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liepos 2 d. Nr. XII-462 </w:t>
      </w:r>
    </w:p>
    <w:p w14:paraId="3022D0E2" w14:textId="77777777" w:rsidR="00B307ED" w:rsidRDefault="00964B4B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022D0E3" w14:textId="77777777" w:rsidR="00B307ED" w:rsidRDefault="00B307ED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3022D0E4" w14:textId="77777777" w:rsidR="00B307ED" w:rsidRDefault="00964B4B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</w:t>
      </w:r>
      <w:proofErr w:type="spellStart"/>
      <w:r>
        <w:rPr>
          <w:color w:val="000000"/>
          <w:szCs w:val="24"/>
          <w:lang w:eastAsia="lt-LT"/>
        </w:rPr>
        <w:t>Žin</w:t>
      </w:r>
      <w:proofErr w:type="spellEnd"/>
      <w:r>
        <w:rPr>
          <w:color w:val="000000"/>
          <w:szCs w:val="24"/>
          <w:lang w:eastAsia="lt-LT"/>
        </w:rPr>
        <w:t>., 1994,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63-1231</w:t>
        </w:r>
      </w:hyperlink>
      <w:r>
        <w:rPr>
          <w:color w:val="000000"/>
          <w:szCs w:val="24"/>
          <w:lang w:eastAsia="lt-LT"/>
        </w:rPr>
        <w:t>; 1998,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112-3099</w:t>
        </w:r>
      </w:hyperlink>
      <w:r>
        <w:rPr>
          <w:color w:val="000000"/>
          <w:szCs w:val="24"/>
          <w:lang w:eastAsia="lt-LT"/>
        </w:rPr>
        <w:t>; 2004,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171-6309</w:t>
        </w:r>
      </w:hyperlink>
      <w:r>
        <w:rPr>
          <w:color w:val="000000"/>
          <w:szCs w:val="24"/>
          <w:lang w:eastAsia="lt-LT"/>
        </w:rPr>
        <w:t>; 2007,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64-2456</w:t>
        </w:r>
      </w:hyperlink>
      <w:r>
        <w:rPr>
          <w:color w:val="000000"/>
          <w:szCs w:val="24"/>
          <w:lang w:eastAsia="lt-LT"/>
        </w:rPr>
        <w:t>, Nr. 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81-3327</w:t>
        </w:r>
      </w:hyperlink>
      <w:r>
        <w:rPr>
          <w:color w:val="000000"/>
          <w:szCs w:val="24"/>
          <w:lang w:eastAsia="lt-LT"/>
        </w:rPr>
        <w:t>; 2010, Nr. 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51-2476</w:t>
        </w:r>
      </w:hyperlink>
      <w:r>
        <w:rPr>
          <w:color w:val="000000"/>
          <w:szCs w:val="24"/>
          <w:lang w:eastAsia="lt-LT"/>
        </w:rPr>
        <w:t>)</w:t>
      </w:r>
    </w:p>
    <w:p w14:paraId="3022D0E5" w14:textId="77777777" w:rsidR="00B307ED" w:rsidRDefault="00B307ED">
      <w:pPr>
        <w:ind w:firstLine="567"/>
        <w:jc w:val="both"/>
        <w:rPr>
          <w:szCs w:val="24"/>
          <w:lang w:eastAsia="lt-LT"/>
        </w:rPr>
      </w:pPr>
    </w:p>
    <w:p w14:paraId="3022D0E6" w14:textId="77777777" w:rsidR="00B307ED" w:rsidRDefault="00964B4B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63 straipsnio 1 punkto pakeitimas</w:t>
      </w:r>
    </w:p>
    <w:p w14:paraId="3022D0E7" w14:textId="77777777" w:rsidR="00B307ED" w:rsidRDefault="00964B4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63 straipsnio 1 punktą ir jį išdėstyti taip:</w:t>
      </w:r>
    </w:p>
    <w:p w14:paraId="3022D0E8" w14:textId="77777777" w:rsidR="00B307ED" w:rsidRDefault="00964B4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) nustato savivaldybės sveikatos priežiūros plėtojimą savivaldybės strateginiame plėtros ir (ar) </w:t>
      </w:r>
      <w:r>
        <w:rPr>
          <w:color w:val="000000"/>
          <w:szCs w:val="24"/>
          <w:lang w:eastAsia="lt-LT"/>
        </w:rPr>
        <w:t>savivaldybės strateginiame veiklos planuose;“.</w:t>
      </w:r>
    </w:p>
    <w:p w14:paraId="3022D0E9" w14:textId="77777777" w:rsidR="00B307ED" w:rsidRDefault="00964B4B">
      <w:pPr>
        <w:ind w:firstLine="567"/>
        <w:jc w:val="both"/>
        <w:rPr>
          <w:szCs w:val="24"/>
          <w:lang w:eastAsia="lt-LT"/>
        </w:rPr>
      </w:pPr>
    </w:p>
    <w:p w14:paraId="3022D0EA" w14:textId="77777777" w:rsidR="00B307ED" w:rsidRDefault="00964B4B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64 straipsnio 1 punkto pakeitimas</w:t>
      </w:r>
    </w:p>
    <w:p w14:paraId="3022D0EB" w14:textId="77777777" w:rsidR="00B307ED" w:rsidRDefault="00964B4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64 straipsnio 1 punktą ir jį išdėstyti taip:</w:t>
      </w:r>
    </w:p>
    <w:p w14:paraId="3022D0EC" w14:textId="77777777" w:rsidR="00B307ED" w:rsidRDefault="00964B4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) organizuoja Lietuvos sveikatos programos, valstybinių sveikatos programų įgyvendinimą, </w:t>
      </w:r>
      <w:r>
        <w:rPr>
          <w:color w:val="000000"/>
          <w:szCs w:val="24"/>
          <w:lang w:eastAsia="lt-LT"/>
        </w:rPr>
        <w:t xml:space="preserve">savivaldybės sveikatos priežiūros plėtojimą, savivaldybės tarybos patvirtintų savivaldybės strateginio plėtros ir (ar) savivaldybės strateginio veiklos planų, </w:t>
      </w:r>
      <w:proofErr w:type="spellStart"/>
      <w:r>
        <w:rPr>
          <w:color w:val="000000"/>
          <w:szCs w:val="24"/>
          <w:lang w:eastAsia="lt-LT"/>
        </w:rPr>
        <w:t>sveikatinimo</w:t>
      </w:r>
      <w:proofErr w:type="spellEnd"/>
      <w:r>
        <w:rPr>
          <w:color w:val="000000"/>
          <w:szCs w:val="24"/>
          <w:lang w:eastAsia="lt-LT"/>
        </w:rPr>
        <w:t xml:space="preserve"> veiklos įstatymų, kitų teisės aktų įgyvendinimą savivaldybės teritorijoje;“.</w:t>
      </w:r>
    </w:p>
    <w:p w14:paraId="3022D0ED" w14:textId="77777777" w:rsidR="00B307ED" w:rsidRDefault="00964B4B">
      <w:pPr>
        <w:ind w:firstLine="567"/>
        <w:jc w:val="both"/>
        <w:rPr>
          <w:szCs w:val="24"/>
          <w:lang w:eastAsia="lt-LT"/>
        </w:rPr>
      </w:pPr>
    </w:p>
    <w:p w14:paraId="3022D0EE" w14:textId="77777777" w:rsidR="00B307ED" w:rsidRDefault="00964B4B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67 straipsnio 4 dalies 1 punkto pakeitimas</w:t>
      </w:r>
    </w:p>
    <w:p w14:paraId="3022D0EF" w14:textId="77777777" w:rsidR="00B307ED" w:rsidRDefault="00964B4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67 straipsnio 4 dalies 1 punktą ir jį išdėstyti taip:</w:t>
      </w:r>
    </w:p>
    <w:p w14:paraId="3022D0F0" w14:textId="77777777" w:rsidR="00B307ED" w:rsidRDefault="00964B4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gauti iš Vyriausybės, ministerijų, kitų Vyriausybės įstaigų, savivaldybių valdymo organų, įmonių, įstaigų, organizacijų teis</w:t>
      </w:r>
      <w:r>
        <w:rPr>
          <w:color w:val="000000"/>
          <w:szCs w:val="24"/>
          <w:lang w:eastAsia="lt-LT"/>
        </w:rPr>
        <w:t>ės aktų, savivaldybės strateginio plėtros ir (ar) savivaldybės strateginio veiklos planų, programų projektus, kitą informaciją, reikalingą šiame įstatyme ir Tarybos nuostatuose nustatytoms funkcijoms įgyvendinti;“.</w:t>
      </w:r>
    </w:p>
    <w:p w14:paraId="3022D0F1" w14:textId="77777777" w:rsidR="00B307ED" w:rsidRDefault="00964B4B">
      <w:pPr>
        <w:ind w:firstLine="567"/>
        <w:jc w:val="both"/>
        <w:rPr>
          <w:szCs w:val="24"/>
          <w:lang w:eastAsia="lt-LT"/>
        </w:rPr>
      </w:pPr>
    </w:p>
    <w:p w14:paraId="3022D0F2" w14:textId="77777777" w:rsidR="00B307ED" w:rsidRDefault="00964B4B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4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68 straipsnio 4 </w:t>
      </w:r>
      <w:r>
        <w:rPr>
          <w:b/>
          <w:bCs/>
          <w:color w:val="000000"/>
          <w:szCs w:val="24"/>
          <w:lang w:eastAsia="lt-LT"/>
        </w:rPr>
        <w:t>dalies 1 punkto pakeitimas</w:t>
      </w:r>
    </w:p>
    <w:p w14:paraId="3022D0F3" w14:textId="77777777" w:rsidR="00B307ED" w:rsidRDefault="00964B4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68 straipsnio 4 dalies 1 punktą ir jį išdėstyti taip:</w:t>
      </w:r>
    </w:p>
    <w:p w14:paraId="3022D0F4" w14:textId="77777777" w:rsidR="00B307ED" w:rsidRDefault="00964B4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gauti iš Vyriausybės, ministerijų, kitų Vyriausybės įstaigų, savivaldybių valdymo organų, įmonių, įstaigų, organizacijų įstatymų, kitų teisės aktų, savivaldyb</w:t>
      </w:r>
      <w:r>
        <w:rPr>
          <w:color w:val="000000"/>
          <w:szCs w:val="24"/>
          <w:lang w:eastAsia="lt-LT"/>
        </w:rPr>
        <w:t>ės strateginio plėtros ir (ar) savivaldybės strateginio veiklos planų, programų projektus bei kitą informaciją, reikalingą šiame įstatyme ir komisijos nuostatuose nustatytoms funkcijoms vykdyti;“.</w:t>
      </w:r>
    </w:p>
    <w:p w14:paraId="3022D0F5" w14:textId="77777777" w:rsidR="00B307ED" w:rsidRDefault="00964B4B">
      <w:pPr>
        <w:ind w:firstLine="567"/>
        <w:jc w:val="both"/>
        <w:rPr>
          <w:szCs w:val="24"/>
          <w:lang w:eastAsia="lt-LT"/>
        </w:rPr>
      </w:pPr>
    </w:p>
    <w:p w14:paraId="3022D0F6" w14:textId="77777777" w:rsidR="00B307ED" w:rsidRDefault="00964B4B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5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 w14:paraId="3022D0F8" w14:textId="0AB54689" w:rsidR="00B307ED" w:rsidRDefault="00964B4B" w:rsidP="00964B4B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Šis </w:t>
      </w:r>
      <w:r>
        <w:rPr>
          <w:color w:val="000000"/>
          <w:szCs w:val="24"/>
          <w:lang w:eastAsia="lt-LT"/>
        </w:rPr>
        <w:t>įstatymas įsigalioja 2014 m. spalio 1 d.</w:t>
      </w:r>
    </w:p>
    <w:p w14:paraId="63AFEADE" w14:textId="77777777" w:rsidR="00964B4B" w:rsidRDefault="00964B4B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</w:p>
    <w:p w14:paraId="131794D4" w14:textId="77777777" w:rsidR="00964B4B" w:rsidRDefault="00964B4B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</w:p>
    <w:p w14:paraId="3022D0F9" w14:textId="6ED24114" w:rsidR="00B307ED" w:rsidRDefault="00964B4B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 w14:paraId="3022D0FA" w14:textId="77777777" w:rsidR="00B307ED" w:rsidRDefault="00B307ED">
      <w:pPr>
        <w:widowControl w:val="0"/>
        <w:suppressAutoHyphens/>
        <w:ind w:firstLine="60"/>
        <w:jc w:val="center"/>
        <w:rPr>
          <w:color w:val="000000"/>
          <w:szCs w:val="24"/>
          <w:lang w:eastAsia="lt-LT"/>
        </w:rPr>
      </w:pPr>
    </w:p>
    <w:p w14:paraId="3F095287" w14:textId="77777777" w:rsidR="00964B4B" w:rsidRDefault="00964B4B">
      <w:pPr>
        <w:widowControl w:val="0"/>
        <w:suppressAutoHyphens/>
        <w:ind w:firstLine="60"/>
        <w:jc w:val="center"/>
        <w:rPr>
          <w:color w:val="000000"/>
          <w:szCs w:val="24"/>
          <w:lang w:eastAsia="lt-LT"/>
        </w:rPr>
      </w:pPr>
    </w:p>
    <w:p w14:paraId="3022D0FB" w14:textId="77777777" w:rsidR="00B307ED" w:rsidRDefault="00964B4B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</w:r>
      <w:r>
        <w:rPr>
          <w:caps/>
          <w:color w:val="000000"/>
          <w:szCs w:val="24"/>
          <w:lang w:eastAsia="lt-LT"/>
        </w:rPr>
        <w:tab/>
        <w:t>DALIA GRYBAUSKAITĖ</w:t>
      </w:r>
    </w:p>
    <w:p w14:paraId="3022D0FC" w14:textId="26D4E865" w:rsidR="00B307ED" w:rsidRDefault="00B307ED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bookmarkStart w:id="0" w:name="_GoBack"/>
      <w:bookmarkEnd w:id="0"/>
    </w:p>
    <w:p w14:paraId="3022D0FE" w14:textId="7A919B8C" w:rsidR="00B307ED" w:rsidRDefault="00964B4B" w:rsidP="00964B4B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sectPr w:rsidR="00B307ED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8"/>
    <w:rsid w:val="00964B4B"/>
    <w:rsid w:val="00B307ED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D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4B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4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egalAct.html?documentId=TAR.0C52B34D92D2"/>
  <Relationship Id="rId11" Type="http://schemas.openxmlformats.org/officeDocument/2006/relationships/hyperlink" TargetMode="External" Target="https://www.e-tar.lt/portal/legalAct.html?documentId=TAR.C797F81F2EBA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egalAct.html?documentId=TAR.E2B2957B9182"/>
  <Relationship Id="rId7" Type="http://schemas.openxmlformats.org/officeDocument/2006/relationships/hyperlink" TargetMode="External" Target="https://www.e-tar.lt/portal/legalAct.html?documentId=TAR.E964CE7A637A"/>
  <Relationship Id="rId8" Type="http://schemas.openxmlformats.org/officeDocument/2006/relationships/hyperlink" TargetMode="External" Target="https://www.e-tar.lt/portal/legalAct.html?documentId=TAR.2F79E8698F3A"/>
  <Relationship Id="rId9" Type="http://schemas.openxmlformats.org/officeDocument/2006/relationships/hyperlink" TargetMode="External" Target="https://www.e-tar.lt/portal/legalAct.html?documentId=TAR.5490EE6DF9CD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BA"/>
    <w:rsid w:val="00D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2F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2F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1730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2014-12-08T08:56:00Z</dcterms:created>
  <dc:creator>Rima</dc:creator>
  <lastModifiedBy>KUČIAUSKIENĖ Simona</lastModifiedBy>
  <dcterms:modified xsi:type="dcterms:W3CDTF">2014-12-08T09:12:00Z</dcterms:modified>
  <revision>3</revision>
  <dc:title>LIETUVOS RESPUBLIKOS SVEIKATOS SISTEMOS ĮSTATYMO 63, 64, 67 IR 68 STRAIPSNIŲ PAKEITIMO ĮSTATYMAS</dc:title>
</coreProperties>
</file>