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ĮSTATYMO „DĖL UŽSIENIEČIŲ TEISINĖS PADĖTIES“ 2, 53, 101 STRAIPSNIŲ IR PRIEDO PAKEITIMO IR PAPILDYMO ĮSTATYMAS</w:t>
      </w:r>
    </w:p>
    <w:p>
      <w:pPr>
        <w:widowControl w:val="0"/>
        <w:ind w:firstLine="567"/>
        <w:jc w:val="both"/>
        <w:rPr>
          <w:b/>
          <w:bCs/>
          <w:color w:val="000000"/>
          <w:szCs w:val="24"/>
          <w:lang w:eastAsia="lt-LT"/>
        </w:rPr>
      </w:pPr>
    </w:p>
    <w:p>
      <w:pPr>
        <w:widowControl w:val="0"/>
        <w:jc w:val="center"/>
        <w:rPr>
          <w:color w:val="000000"/>
          <w:szCs w:val="24"/>
          <w:lang w:eastAsia="lt-LT"/>
        </w:rPr>
      </w:pPr>
      <w:r>
        <w:rPr>
          <w:color w:val="000000"/>
          <w:szCs w:val="24"/>
          <w:lang w:eastAsia="lt-LT"/>
        </w:rPr>
        <w:t xml:space="preserve">2013 m. birželio 27 d. Nr. XII-436 </w:t>
      </w:r>
    </w:p>
    <w:p>
      <w:pPr>
        <w:widowControl w:val="0"/>
        <w:jc w:val="center"/>
        <w:rPr>
          <w:color w:val="000000"/>
          <w:szCs w:val="24"/>
          <w:lang w:eastAsia="lt-LT"/>
        </w:rPr>
      </w:pPr>
      <w:r>
        <w:rPr>
          <w:color w:val="000000"/>
          <w:szCs w:val="24"/>
          <w:lang w:eastAsia="lt-LT"/>
        </w:rPr>
        <w:t>Vilnius</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(Žin., 2004, Nr. </w:t>
      </w:r>
      <w:fldSimple w:instr="HYPERLINK https://www.e-tar.lt/portal/lt/legalAct/TAR.42837E5A79DD \t _blank">
        <w:r>
          <w:rPr>
            <w:color w:val="0000FF" w:themeColor="hyperlink"/>
            <w:szCs w:val="24"/>
            <w:lang w:eastAsia="lt-LT"/>
            <w:u w:val="single"/>
          </w:rPr>
          <w:t>73-2539</w:t>
        </w:r>
      </w:fldSimple>
      <w:r>
        <w:rPr>
          <w:color w:val="000000"/>
          <w:szCs w:val="24"/>
          <w:lang w:eastAsia="lt-LT"/>
        </w:rPr>
        <w:t>; 2006, Nr. </w:t>
      </w:r>
      <w:fldSimple w:instr="HYPERLINK https://www.e-tar.lt/portal/lt/legalAct/TAR.D79EF0646F5C \t _blank">
        <w:r>
          <w:rPr>
            <w:color w:val="0000FF" w:themeColor="hyperlink"/>
            <w:szCs w:val="24"/>
            <w:lang w:eastAsia="lt-LT"/>
            <w:u w:val="single"/>
          </w:rPr>
          <w:t>137-5199</w:t>
        </w:r>
      </w:fldSimple>
      <w:r>
        <w:rPr>
          <w:color w:val="000000"/>
          <w:szCs w:val="24"/>
          <w:lang w:eastAsia="lt-LT"/>
        </w:rPr>
        <w:t>; 2008, Nr. </w:t>
      </w:r>
      <w:fldSimple w:instr="HYPERLINK https://www.e-tar.lt/portal/lt/legalAct/TAR.FB2157F6318A \t _blank">
        <w:r>
          <w:rPr>
            <w:color w:val="0000FF" w:themeColor="hyperlink"/>
            <w:szCs w:val="24"/>
            <w:lang w:eastAsia="lt-LT"/>
            <w:u w:val="single"/>
          </w:rPr>
          <w:t>22-803</w:t>
        </w:r>
      </w:fldSimple>
      <w:r>
        <w:rPr>
          <w:color w:val="000000"/>
          <w:szCs w:val="24"/>
          <w:lang w:eastAsia="lt-LT"/>
        </w:rPr>
        <w:t>; 2009, Nr. </w:t>
      </w:r>
      <w:fldSimple w:instr="HYPERLINK https://www.e-tar.lt/portal/lt/legalAct/TAR.78766B5EAE80 \t _blank">
        <w:r>
          <w:rPr>
            <w:color w:val="0000FF" w:themeColor="hyperlink"/>
            <w:szCs w:val="24"/>
            <w:lang w:eastAsia="lt-LT"/>
            <w:u w:val="single"/>
          </w:rPr>
          <w:t>93-3984</w:t>
        </w:r>
      </w:fldSimple>
      <w:r>
        <w:rPr>
          <w:color w:val="000000"/>
          <w:szCs w:val="24"/>
          <w:lang w:eastAsia="lt-LT"/>
        </w:rPr>
        <w:t>; 2011, Nr. </w:t>
      </w:r>
      <w:fldSimple w:instr="HYPERLINK https://www.e-tar.lt/portal/lt/legalAct/TAR.0E7B5845B244 \t _blank">
        <w:r>
          <w:rPr>
            <w:color w:val="0000FF" w:themeColor="hyperlink"/>
            <w:szCs w:val="24"/>
            <w:lang w:eastAsia="lt-LT"/>
            <w:u w:val="single"/>
          </w:rPr>
          <w:t>156-7384</w:t>
        </w:r>
      </w:fldSimple>
      <w:r>
        <w:rPr>
          <w:color w:val="000000"/>
          <w:szCs w:val="24"/>
          <w:lang w:eastAsia="lt-LT"/>
        </w:rPr>
        <w:t>; 2012, Nr. </w:t>
      </w:r>
      <w:fldSimple w:instr="HYPERLINK https://www.e-tar.lt/portal/lt/legalAct/TAR.935939A2F479 \t _blank">
        <w:r>
          <w:rPr>
            <w:color w:val="0000FF" w:themeColor="hyperlink"/>
            <w:szCs w:val="24"/>
            <w:lang w:eastAsia="lt-LT"/>
            <w:u w:val="single"/>
          </w:rPr>
          <w:t>85-4450</w:t>
        </w:r>
      </w:fldSimple>
      <w:r>
        <w:rPr>
          <w:color w:val="000000"/>
          <w:szCs w:val="24"/>
          <w:lang w:eastAsia="lt-LT"/>
        </w:rPr>
        <w:t>)</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2 straipsnio 11</w:t>
      </w:r>
      <w:r>
        <w:rPr>
          <w:b/>
          <w:bCs/>
          <w:color w:val="000000"/>
          <w:szCs w:val="24"/>
          <w:vertAlign w:val="superscript"/>
          <w:lang w:eastAsia="lt-LT"/>
        </w:rPr>
        <w:t>1</w:t>
      </w:r>
      <w:r>
        <w:rPr>
          <w:b/>
          <w:bCs/>
          <w:color w:val="000000"/>
          <w:szCs w:val="24"/>
          <w:lang w:eastAsia="lt-LT"/>
        </w:rPr>
        <w:t> ir 15 dalių pakeitimas</w:t>
      </w:r>
    </w:p>
    <w:p>
      <w:pPr>
        <w:widowControl w:val="0"/>
        <w:ind w:firstLine="567"/>
        <w:jc w:val="both"/>
        <w:rPr>
          <w:color w:val="000000"/>
          <w:szCs w:val="24"/>
          <w:lang w:eastAsia="lt-LT"/>
        </w:rPr>
      </w:pPr>
      <w:r>
        <w:rPr>
          <w:color w:val="000000"/>
          <w:szCs w:val="24"/>
          <w:lang w:eastAsia="lt-LT"/>
        </w:rPr>
        <w:t>1</w:t>
      </w:r>
      <w:r>
        <w:rPr>
          <w:color w:val="000000"/>
          <w:szCs w:val="24"/>
          <w:lang w:eastAsia="lt-LT"/>
        </w:rPr>
        <w:t>. 2 straipsnio 11</w:t>
      </w:r>
      <w:r>
        <w:rPr>
          <w:color w:val="000000"/>
          <w:szCs w:val="24"/>
          <w:vertAlign w:val="superscript"/>
          <w:lang w:eastAsia="lt-LT"/>
        </w:rPr>
        <w:t>1</w:t>
      </w:r>
      <w:r>
        <w:rPr>
          <w:color w:val="000000"/>
          <w:szCs w:val="24"/>
          <w:lang w:eastAsia="lt-LT"/>
        </w:rPr>
        <w:t> dalyje išbraukti žodžius „Europos Sąjungos valstybės narės pilietis ar“ ir „išvykimo Europos Sąjungos valstybėje narėje“ ir šią dalį išdėstyti taip:</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w:t>
      </w:r>
      <w:r>
        <w:rPr>
          <w:color w:val="000000"/>
          <w:szCs w:val="24"/>
          <w:lang w:eastAsia="lt-LT"/>
        </w:rPr>
        <w:t>11</w:t>
      </w:r>
      <w:r>
        <w:rPr>
          <w:color w:val="000000"/>
          <w:szCs w:val="24"/>
          <w:vertAlign w:val="superscript"/>
          <w:lang w:eastAsia="lt-LT"/>
        </w:rPr>
        <w:t>1</w:t>
      </w:r>
      <w:r>
        <w:rPr>
          <w:color w:val="000000"/>
          <w:szCs w:val="24"/>
          <w:lang w:eastAsia="lt-LT"/>
        </w:rPr>
        <w:t xml:space="preserve">. </w:t>
      </w:r>
      <w:r>
        <w:rPr>
          <w:b/>
          <w:bCs/>
          <w:color w:val="000000"/>
          <w:szCs w:val="24"/>
          <w:lang w:eastAsia="lt-LT"/>
        </w:rPr>
        <w:t>Kitas asmuo, kuris pagal Europos Sąjungos teisės aktus naudojasi laisvo asmenų judėjimo teise</w:t>
      </w:r>
      <w:r>
        <w:rPr>
          <w:color w:val="000000"/>
          <w:szCs w:val="24"/>
          <w:lang w:eastAsia="lt-LT"/>
        </w:rPr>
        <w:t>, – asmuo, kuris nėra Europos Sąjungos valstybės narės piliečio šeimos narys, bet yra sugyventinis, su kuriuo Europos Sąjungos valstybės narės pilietis pastaruosius 3 metus palaiko nuolatinius santykius, kurie tinkamai įrodomi dokumentais, taip pat asmuo, kuris yra išlaikomas Europos Sąjungos valstybės narės piliečio ar tvarko bendrą namų ūkį su Europos Sąjungos valstybės narės piliečiu arba kuriam dėl rimtų sveikatos priežasčių būtinai reikalinga asmeninė Europos Sąjungos valstybės narės piliečio priežiūra, jeigu tai tinkamai įrodoma dokumentais.“</w:t>
      </w:r>
    </w:p>
    <w:p>
      <w:pPr>
        <w:widowControl w:val="0"/>
        <w:ind w:firstLine="567"/>
        <w:jc w:val="both"/>
        <w:rPr>
          <w:color w:val="000000"/>
          <w:szCs w:val="24"/>
          <w:lang w:eastAsia="lt-LT"/>
        </w:rPr>
      </w:pPr>
      <w:r>
        <w:rPr>
          <w:color w:val="000000"/>
          <w:szCs w:val="24"/>
          <w:lang w:eastAsia="lt-LT"/>
        </w:rPr>
        <w:t>2</w:t>
      </w:r>
      <w:r>
        <w:rPr>
          <w:color w:val="000000"/>
          <w:szCs w:val="24"/>
          <w:lang w:eastAsia="lt-LT"/>
        </w:rPr>
        <w:t>. 2 straipsnio 15 dalyje vietoj žodžio „Bendrijoje“ įrašyti žodį „Sąjungoje“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15</w:t>
      </w:r>
      <w:r>
        <w:rPr>
          <w:color w:val="000000"/>
          <w:szCs w:val="24"/>
          <w:lang w:eastAsia="lt-LT"/>
        </w:rPr>
        <w:t>.</w:t>
      </w:r>
      <w:r>
        <w:rPr>
          <w:b/>
          <w:bCs/>
          <w:color w:val="000000"/>
          <w:szCs w:val="24"/>
          <w:lang w:eastAsia="lt-LT"/>
        </w:rPr>
        <w:t xml:space="preserve"> Lietuvos Respublikos ilgalaikio gyventojo leidimas gyventi Europos Sąjungoje </w:t>
      </w:r>
      <w:r>
        <w:rPr>
          <w:color w:val="000000"/>
          <w:szCs w:val="24"/>
          <w:lang w:eastAsia="lt-LT"/>
        </w:rPr>
        <w:t>(toliau –</w:t>
      </w:r>
      <w:r>
        <w:rPr>
          <w:b/>
          <w:bCs/>
          <w:color w:val="000000"/>
          <w:szCs w:val="24"/>
          <w:lang w:eastAsia="lt-LT"/>
        </w:rPr>
        <w:t xml:space="preserve"> leidimas nuolat gyventi</w:t>
      </w:r>
      <w:r>
        <w:rPr>
          <w:color w:val="000000"/>
          <w:szCs w:val="24"/>
          <w:lang w:eastAsia="lt-LT"/>
        </w:rPr>
        <w:t>) – dokumentas, suteikiantis užsieniečiui teisę gyventi Lietuvos Respublikoje ir patvirtinantis užsieniečio nuolatinio gyventojo statusą.“</w:t>
      </w:r>
    </w:p>
    <w:p>
      <w:pPr>
        <w:ind w:firstLine="567"/>
        <w:jc w:val="both"/>
        <w:rPr>
          <w:szCs w:val="24"/>
          <w:lang w:eastAsia="lt-LT"/>
        </w:rPr>
      </w:pPr>
    </w:p>
    <w:p>
      <w:pPr>
        <w:widowControl w:val="0"/>
        <w:ind w:firstLine="567"/>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53 straipsnio papildymas 9</w:t>
      </w:r>
      <w:r>
        <w:rPr>
          <w:b/>
          <w:bCs/>
          <w:color w:val="000000"/>
          <w:szCs w:val="24"/>
          <w:vertAlign w:val="superscript"/>
          <w:lang w:eastAsia="lt-LT"/>
        </w:rPr>
        <w:t>1</w:t>
      </w:r>
      <w:r>
        <w:rPr>
          <w:b/>
          <w:bCs/>
          <w:color w:val="000000"/>
          <w:szCs w:val="24"/>
          <w:lang w:eastAsia="lt-LT"/>
        </w:rPr>
        <w:t> dalimi ir 10 dalies pakeitimas</w:t>
      </w:r>
    </w:p>
    <w:p>
      <w:pPr>
        <w:widowControl w:val="0"/>
        <w:ind w:firstLine="567"/>
        <w:jc w:val="both"/>
        <w:rPr>
          <w:color w:val="000000"/>
          <w:szCs w:val="24"/>
          <w:lang w:eastAsia="lt-LT"/>
        </w:rPr>
      </w:pPr>
      <w:r>
        <w:rPr>
          <w:color w:val="000000"/>
          <w:szCs w:val="24"/>
          <w:lang w:eastAsia="lt-LT"/>
        </w:rPr>
        <w:t>1</w:t>
      </w:r>
      <w:r>
        <w:rPr>
          <w:color w:val="000000"/>
          <w:szCs w:val="24"/>
          <w:lang w:eastAsia="lt-LT"/>
        </w:rPr>
        <w:t>. Papildyti 53 straipsnį 9</w:t>
      </w:r>
      <w:r>
        <w:rPr>
          <w:color w:val="000000"/>
          <w:szCs w:val="24"/>
          <w:vertAlign w:val="superscript"/>
          <w:lang w:eastAsia="lt-LT"/>
        </w:rPr>
        <w:t>1</w:t>
      </w:r>
      <w:r>
        <w:rPr>
          <w:color w:val="000000"/>
          <w:szCs w:val="24"/>
          <w:lang w:eastAsia="lt-LT"/>
        </w:rPr>
        <w:t> dalimi:</w:t>
      </w:r>
    </w:p>
    <w:p>
      <w:pPr>
        <w:widowControl w:val="0"/>
        <w:ind w:firstLine="567"/>
        <w:jc w:val="both"/>
        <w:rPr>
          <w:color w:val="000000"/>
          <w:szCs w:val="24"/>
          <w:lang w:eastAsia="lt-LT"/>
        </w:rPr>
      </w:pPr>
      <w:r>
        <w:rPr>
          <w:color w:val="000000"/>
          <w:szCs w:val="24"/>
          <w:lang w:eastAsia="lt-LT"/>
        </w:rPr>
        <w:t>„</w:t>
      </w:r>
      <w:r>
        <w:rPr>
          <w:color w:val="000000"/>
          <w:szCs w:val="24"/>
          <w:lang w:eastAsia="lt-LT"/>
        </w:rPr>
        <w:t>9</w:t>
      </w:r>
      <w:r>
        <w:rPr>
          <w:color w:val="000000"/>
          <w:szCs w:val="24"/>
          <w:vertAlign w:val="superscript"/>
          <w:lang w:eastAsia="lt-LT"/>
        </w:rPr>
        <w:t>1</w:t>
      </w:r>
      <w:r>
        <w:rPr>
          <w:color w:val="000000"/>
          <w:szCs w:val="24"/>
          <w:lang w:eastAsia="lt-LT"/>
        </w:rPr>
        <w:t>. Leidimą nuolat gyventi išduodant šio straipsnio 1 dalies 8 punkte nustatytu pagrindu užsieniečiui, kuriam suteikta papildoma apsauga Lietuvos Respublikoje, į pragyventą Lietuvos Respublikoje laikotarpį įskaičiuojama pusė laiko, kuris praėjo nuo prašymo suteikti prieglobstį Lietuvos Respublikoje pateikimo dienos iki leidimo laikinai gyventi išdavimo vadovaujantis šio Įstatymo 40 straipsnio 1 dalies 9 punkto ir 48 straipsnio nuostatomis dienos, arba visas šis laikas, jeigu jis truko ilgiau kaip 18 mėnesių.“</w:t>
      </w:r>
    </w:p>
    <w:p>
      <w:pPr>
        <w:widowControl w:val="0"/>
        <w:ind w:firstLine="567"/>
        <w:jc w:val="both"/>
        <w:rPr>
          <w:color w:val="000000"/>
          <w:szCs w:val="24"/>
          <w:lang w:eastAsia="lt-LT"/>
        </w:rPr>
      </w:pPr>
      <w:r>
        <w:rPr>
          <w:color w:val="000000"/>
          <w:szCs w:val="24"/>
          <w:lang w:eastAsia="lt-LT"/>
        </w:rPr>
        <w:t>2</w:t>
      </w:r>
      <w:r>
        <w:rPr>
          <w:color w:val="000000"/>
          <w:szCs w:val="24"/>
          <w:lang w:eastAsia="lt-LT"/>
        </w:rPr>
        <w:t>. Pakeisti 53 straipsnio 10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10</w:t>
      </w:r>
      <w:r>
        <w:rPr>
          <w:color w:val="000000"/>
          <w:szCs w:val="24"/>
          <w:lang w:eastAsia="lt-LT"/>
        </w:rPr>
        <w:t>. Leidimą nuolat gyventi išduodant užsieniečiui šio straipsnio 1 dalies 8 ir 8</w:t>
      </w:r>
      <w:r>
        <w:rPr>
          <w:color w:val="000000"/>
          <w:szCs w:val="24"/>
          <w:vertAlign w:val="superscript"/>
          <w:lang w:eastAsia="lt-LT"/>
        </w:rPr>
        <w:t>1</w:t>
      </w:r>
      <w:r>
        <w:rPr>
          <w:color w:val="000000"/>
          <w:szCs w:val="24"/>
          <w:lang w:eastAsia="lt-LT"/>
        </w:rPr>
        <w:t> punktuose nustatytais pagrindais, pragyvento laikotarpio nepertraukia buvimo už atitinkamai Lietuvos Respublikos ar kitos Europos Sąjungos valstybės narės teritorijos ribų laikas, jeigu jis netrunka ilgiau kaip 6 mėnesius iš eilės ir iš viso per 5 metų laikotarpį nesudaro daugiau kaip 10 mėnesių. Jeigu užsienietis, kuris leidimą nuolat gyventi siekia gauti šio straipsnio 1 dalies 8</w:t>
      </w:r>
      <w:r>
        <w:rPr>
          <w:color w:val="000000"/>
          <w:szCs w:val="24"/>
          <w:vertAlign w:val="superscript"/>
          <w:lang w:eastAsia="lt-LT"/>
        </w:rPr>
        <w:t>1</w:t>
      </w:r>
      <w:r>
        <w:rPr>
          <w:color w:val="000000"/>
          <w:szCs w:val="24"/>
          <w:lang w:eastAsia="lt-LT"/>
        </w:rPr>
        <w:t> punkte nustatytu pagrindu, įrodo, kad buvo išvykęs į savo kilmės valstybę dirbti, užsiimti kita teisėta veikla arba studijuoti, pragyvento laikotarpio nepertraukia buvimo už Lietuvos Respublikos ar kitos Europos Sąjungos valstybės narės teritorijos ribų laikas, jeigu jis netrunka ilgiau kaip 12 mėnesių iš eilės ir iš viso per 5 metų laikotarpį nesudaro daugiau kaip 18 mėnesių.“</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101 straipsnio 2 dalies pakeitimas</w:t>
      </w:r>
    </w:p>
    <w:p>
      <w:pPr>
        <w:widowControl w:val="0"/>
        <w:ind w:firstLine="567"/>
        <w:jc w:val="both"/>
        <w:rPr>
          <w:color w:val="000000"/>
          <w:szCs w:val="24"/>
          <w:lang w:eastAsia="lt-LT"/>
        </w:rPr>
      </w:pPr>
      <w:r>
        <w:rPr>
          <w:color w:val="000000"/>
          <w:szCs w:val="24"/>
          <w:lang w:eastAsia="lt-LT"/>
        </w:rPr>
        <w:t>101 straipsnio 2 dalyje išbraukti žodžius „iš kitos Europos Sąjungos valstybės narės teritorijos“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Lietuvos Respublikos piliečio šeimos nariai, kurie nėra Europos Sąjungos valstybės narės piliečiai, turi teisę gauti Europos Sąjungos leidimo laikinai gyventi kortelę, kai atvyksta gyventi į Lietuvos Respubliką kartu su Lietuvos Respublikos piliečiu, pasinaudojusiu laisvo judėjimo Europos Sąjungoje teise, ar pas jį.“</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Įstatymo priedo papildymas 27 punktu</w:t>
      </w:r>
    </w:p>
    <w:p>
      <w:pPr>
        <w:widowControl w:val="0"/>
        <w:ind w:firstLine="567"/>
        <w:jc w:val="both"/>
        <w:rPr>
          <w:color w:val="000000"/>
          <w:szCs w:val="24"/>
          <w:lang w:eastAsia="lt-LT"/>
        </w:rPr>
      </w:pPr>
      <w:r>
        <w:rPr>
          <w:color w:val="000000"/>
          <w:szCs w:val="24"/>
          <w:lang w:eastAsia="lt-LT"/>
        </w:rPr>
        <w:t>Papildyti Įstatymo priedą 27 punktu:</w:t>
      </w:r>
    </w:p>
    <w:p>
      <w:pPr>
        <w:widowControl w:val="0"/>
        <w:ind w:firstLine="567"/>
        <w:jc w:val="both"/>
        <w:rPr>
          <w:color w:val="000000"/>
          <w:szCs w:val="24"/>
          <w:lang w:eastAsia="lt-LT"/>
        </w:rPr>
      </w:pPr>
      <w:r>
        <w:rPr>
          <w:color w:val="000000"/>
          <w:szCs w:val="24"/>
          <w:lang w:eastAsia="lt-LT"/>
        </w:rPr>
        <w:t>„</w:t>
      </w:r>
      <w:r>
        <w:rPr>
          <w:color w:val="000000"/>
          <w:szCs w:val="24"/>
          <w:lang w:eastAsia="lt-LT"/>
        </w:rPr>
        <w:t>27</w:t>
      </w:r>
      <w:r>
        <w:rPr>
          <w:color w:val="000000"/>
          <w:szCs w:val="24"/>
          <w:lang w:eastAsia="lt-LT"/>
        </w:rPr>
        <w:t xml:space="preserve">. 2011 m. gegužės 11 d. Europos Parlamento ir Tarybos direktyva </w:t>
      </w:r>
      <w:r>
        <w:rPr>
          <w:caps/>
          <w:color w:val="000000"/>
          <w:szCs w:val="24"/>
          <w:lang w:eastAsia="lt-LT"/>
        </w:rPr>
        <w:t>2011</w:t>
      </w:r>
      <w:r>
        <w:rPr>
          <w:color w:val="000000"/>
          <w:szCs w:val="24"/>
          <w:lang w:eastAsia="lt-LT"/>
        </w:rPr>
        <w:t>/51/ES, kuria iš dalies keičiama Tarybos direktyva 2003/109/EB siekiant išplėsti jos taikymo sritį asmenims, kuriems suteikiama tarptautinė apsauga (OL 2011 L 132, p. 1).“</w:t>
      </w:r>
    </w:p>
    <w:p>
      <w:pPr>
        <w:widowControl w:val="0"/>
        <w:ind w:firstLine="567"/>
        <w:jc w:val="both"/>
        <w:rPr>
          <w:color w:val="000000"/>
          <w:szCs w:val="24"/>
          <w:lang w:eastAsia="lt-LT"/>
        </w:rPr>
      </w:pPr>
    </w:p>
    <w:p>
      <w:pPr>
        <w:widowControl w:val="0"/>
        <w:ind w:firstLine="567"/>
        <w:jc w:val="both"/>
        <w:rPr>
          <w:color w:val="000000"/>
          <w:szCs w:val="24"/>
          <w:lang w:eastAsia="lt-LT"/>
        </w:rPr>
      </w:pPr>
      <w:r>
        <w:rPr>
          <w:i/>
          <w:iCs/>
          <w:color w:val="000000"/>
          <w:szCs w:val="24"/>
          <w:lang w:eastAsia="lt-LT"/>
        </w:rPr>
        <w:t>Skelbiu šį Lietuvos Respublikos Seimo priimtą įstatymą.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3472</Characters>
  <Application>Microsoft Office Word</Application>
  <DocSecurity>4</DocSecurity>
  <Lines>68</Lines>
  <Paragraphs>26</Paragraphs>
  <ScaleCrop>false</ScaleCrop>
  <Company/>
  <LinksUpToDate>false</LinksUpToDate>
  <CharactersWithSpaces>3996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2015-09-18T18:57:00Z</dcterms:created>
  <dc:creator>Rima</dc:creator>
  <lastModifiedBy>Adlib User</lastModifiedBy>
  <dcterms:modified xsi:type="dcterms:W3CDTF">2015-09-18T18:57:00Z</dcterms:modified>
  <revision>2</revision>
  <dc:title>LIETUVOS RESPUBLIKOS ĮSTATYMO „DĖL UŽSIENIEČIŲ TEISINĖS PADĖTIES“ 2, 53, 101 STRAIPSNIŲ IR PRIEDO PAKEITIMO IR PAPILDYMO ĮSTATYMAS</dc:title>
</coreProperties>
</file>