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KELIŲ PRIEŽIŪROS IR PLĖTROS PROGRAMOS FINANSAVIMO ĮSTATYMO 4 PRIEDĖLIO PAKEITIMO ĮSTATYMAS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birželio 13 d. Nr. XII-363 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2000, Nr. </w:t>
      </w:r>
      <w:fldSimple w:instr="HYPERLINK https://www.e-tar.lt/portal/lt/legalAct/TAR.A7D82E8EDC6B \t _blank">
        <w:r>
          <w:rPr>
            <w:color w:val="0000FF" w:themeColor="hyperlink"/>
            <w:szCs w:val="24"/>
            <w:lang w:eastAsia="lt-LT"/>
            <w:u w:val="single"/>
          </w:rPr>
          <w:t>92-2873</w:t>
        </w:r>
      </w:fldSimple>
      <w:r>
        <w:rPr>
          <w:color w:val="000000"/>
          <w:szCs w:val="24"/>
          <w:lang w:eastAsia="lt-LT"/>
        </w:rPr>
        <w:t>; 2004, Nr. </w:t>
      </w:r>
      <w:fldSimple w:instr="HYPERLINK https://www.e-tar.lt/portal/lt/legalAct/TAR.3DF7815A4AD1 \t _blank">
        <w:r>
          <w:rPr>
            <w:color w:val="0000FF" w:themeColor="hyperlink"/>
            <w:szCs w:val="24"/>
            <w:lang w:eastAsia="lt-LT"/>
            <w:u w:val="single"/>
          </w:rPr>
          <w:t>171-6302</w:t>
        </w:r>
      </w:fldSimple>
      <w:r>
        <w:rPr>
          <w:color w:val="000000"/>
          <w:szCs w:val="24"/>
          <w:lang w:eastAsia="lt-LT"/>
        </w:rPr>
        <w:t>; 2007, Nr. </w:t>
      </w:r>
      <w:fldSimple w:instr="HYPERLINK https://www.e-tar.lt/portal/lt/legalAct/TAR.5C6EF9E29A6D \t _blank">
        <w:r>
          <w:rPr>
            <w:color w:val="0000FF" w:themeColor="hyperlink"/>
            <w:szCs w:val="24"/>
            <w:lang w:eastAsia="lt-LT"/>
            <w:u w:val="single"/>
          </w:rPr>
          <w:t>69-2724</w:t>
        </w:r>
      </w:fldSimple>
      <w:r>
        <w:rPr>
          <w:color w:val="000000"/>
          <w:szCs w:val="24"/>
          <w:lang w:eastAsia="lt-LT"/>
        </w:rPr>
        <w:t>; 2008, Nr. </w:t>
      </w:r>
      <w:fldSimple w:instr="HYPERLINK https://www.e-tar.lt/portal/lt/legalAct/TAR.A8889B2B1556 \t _blank">
        <w:r>
          <w:rPr>
            <w:color w:val="0000FF" w:themeColor="hyperlink"/>
            <w:szCs w:val="24"/>
            <w:lang w:eastAsia="lt-LT"/>
            <w:u w:val="single"/>
          </w:rPr>
          <w:t>75-2919</w:t>
        </w:r>
      </w:fldSimple>
      <w:r>
        <w:rPr>
          <w:color w:val="000000"/>
          <w:szCs w:val="24"/>
          <w:lang w:eastAsia="lt-LT"/>
        </w:rPr>
        <w:t>; 2012, Nr. </w:t>
      </w:r>
      <w:fldSimple w:instr="HYPERLINK https://www.e-tar.lt/portal/lt/legalAct/TAR.00D4DDE880D9 \t _blank">
        <w:r>
          <w:rPr>
            <w:color w:val="0000FF" w:themeColor="hyperlink"/>
            <w:szCs w:val="24"/>
            <w:lang w:eastAsia="lt-LT"/>
            <w:u w:val="single"/>
          </w:rPr>
          <w:t>80-4147</w:t>
        </w:r>
      </w:fldSimple>
      <w:r>
        <w:rPr>
          <w:color w:val="000000"/>
          <w:szCs w:val="24"/>
          <w:lang w:eastAsia="lt-LT"/>
        </w:rPr>
        <w:t>)</w:t>
      </w:r>
    </w:p>
    <w:p>
      <w:pPr>
        <w:widowControl w:val="0"/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4 priedėlio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4 priedėlio III skirsnio 1 punktą ir jį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Jei transporto priemonės (jų junginio) bendroji masė viršija leidžiamą bendrąją masę (40 t, o vežant 20, 30, 40, 45 pėdų konteinerius, pagamintus pagal ISO standartus, – 44 t), mokamas mokestis, kurio ribiniai tarifai pateikiami lentelėje: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4842"/>
      </w:tblGrid>
      <w:tr>
        <w:trPr>
          <w:trHeight w:val="6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Leidžiama bendroji masė viršyta (t)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Vienkartiniai ribiniai tarifai už kiekvieną viršytą toną, Lt/10 km</w:t>
            </w:r>
          </w:p>
        </w:tc>
      </w:tr>
      <w:tr>
        <w:trPr>
          <w:trHeight w:val="6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iki 10,0*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3,50–4,00</w:t>
            </w:r>
          </w:p>
        </w:tc>
      </w:tr>
      <w:tr>
        <w:trPr>
          <w:trHeight w:val="6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11,0–20,0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4,00–4,50</w:t>
            </w:r>
          </w:p>
        </w:tc>
      </w:tr>
      <w:tr>
        <w:trPr>
          <w:trHeight w:val="6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21,0–40,0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4,50–5,00</w:t>
            </w:r>
          </w:p>
        </w:tc>
      </w:tr>
      <w:tr>
        <w:trPr>
          <w:trHeight w:val="6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&gt; 40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5,00–6,50</w:t>
            </w:r>
          </w:p>
        </w:tc>
      </w:tr>
    </w:tbl>
    <w:p>
      <w:pPr>
        <w:widowControl w:val="0"/>
        <w:jc w:val="center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*Taikoma, kai šešių ašių transporto priemonės, kurios ašies (ašių) apkrova neviršija leidžiamos apkrovos, bendroji masė viršija leidžiamą bendrąją masę ir yra ne didesnė kaip 48 t.“</w:t>
      </w:r>
    </w:p>
    <w:p>
      <w:pPr>
        <w:widowControl w:val="0"/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Įstatymo įsigaliojimas ir įgyvendinimas 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Šis įstatymas įsigalioja 2014 m. sausio 1 d.</w:t>
      </w:r>
    </w:p>
    <w:p>
      <w:pPr>
        <w:widowControl w:val="0"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Lietuvos Respublikos susisiekimo ministerija iki 2014 m. sausio 1 d. nustato atsiskaitymų tvarką ir suderina maršrutus</w:t>
      </w:r>
      <w:r>
        <w:rPr>
          <w:color w:val="000000"/>
          <w:spacing w:val="-2"/>
          <w:szCs w:val="24"/>
          <w:lang w:eastAsia="lt-LT"/>
        </w:rPr>
        <w:t xml:space="preserve">. 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1133</Characters>
  <Application>Microsoft Office Word</Application>
  <DocSecurity>4</DocSecurity>
  <Lines>41</Lines>
  <Paragraphs>28</Paragraphs>
  <ScaleCrop>false</ScaleCrop>
  <Company/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2015-09-13T17:51:00Z</dcterms:created>
  <dc:creator>Rima</dc:creator>
  <lastModifiedBy>Adlib User</lastModifiedBy>
  <dcterms:modified xsi:type="dcterms:W3CDTF">2015-09-13T17:51:00Z</dcterms:modified>
  <revision>2</revision>
  <dc:title>LIETUVOS RESPUBLIKOS KELIŲ PRIEŽIŪROS IR PLĖTROS PROGRAMOS FINANSAVIMO ĮSTATYMO 4 PRIEDĖLIO PAKEITIMO ĮSTATYMAS</dc:title>
</coreProperties>
</file>