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VALSTYBĖS IR SAVIVALDYBIŲ TURTO VALDYMO, NAUDOJIMO IR DISPONAVIMO JUO ĮSTATYMO 17 STRAIPSNIO PAKEITIMO IR PAPILDYMO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gegužės 16 d. Nr. XII-312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1998, Nr. </w:t>
      </w:r>
      <w:fldSimple w:instr="HYPERLINK https://www.e-tar.lt/portal/lt/legalAct/TAR.D5496D69DF98 \t _blank">
        <w:r>
          <w:rPr>
            <w:color w:val="0000FF" w:themeColor="hyperlink"/>
            <w:szCs w:val="24"/>
            <w:lang w:eastAsia="lt-LT"/>
            <w:u w:val="single"/>
          </w:rPr>
          <w:t>54-1492</w:t>
        </w:r>
      </w:fldSimple>
      <w:r>
        <w:rPr>
          <w:color w:val="000000"/>
          <w:szCs w:val="24"/>
          <w:lang w:eastAsia="lt-LT"/>
        </w:rPr>
        <w:t>; 2002, Nr. </w:t>
      </w:r>
      <w:fldSimple w:instr="HYPERLINK https://www.e-tar.lt/portal/lt/legalAct/TAR.89CCCC443F04 \t _blank">
        <w:r>
          <w:rPr>
            <w:color w:val="0000FF" w:themeColor="hyperlink"/>
            <w:szCs w:val="24"/>
            <w:lang w:eastAsia="lt-LT"/>
            <w:u w:val="single"/>
          </w:rPr>
          <w:t>60-2412</w:t>
        </w:r>
      </w:fldSimple>
      <w:r>
        <w:rPr>
          <w:color w:val="000000"/>
          <w:szCs w:val="24"/>
          <w:lang w:eastAsia="lt-LT"/>
        </w:rPr>
        <w:t>; 2003, Nr. </w:t>
      </w:r>
      <w:fldSimple w:instr="HYPERLINK https://www.e-tar.lt/portal/lt/legalAct/TAR.FDFDD895FAE5 \t _blank">
        <w:r>
          <w:rPr>
            <w:color w:val="0000FF" w:themeColor="hyperlink"/>
            <w:szCs w:val="24"/>
            <w:lang w:eastAsia="lt-LT"/>
            <w:u w:val="single"/>
          </w:rPr>
          <w:t>47-2065</w:t>
        </w:r>
      </w:fldSimple>
      <w:r>
        <w:rPr>
          <w:color w:val="000000"/>
          <w:szCs w:val="24"/>
          <w:lang w:eastAsia="lt-LT"/>
        </w:rPr>
        <w:t>; 2006, Nr. 87-339; 2009, Nr. </w:t>
      </w:r>
      <w:fldSimple w:instr="HYPERLINK https://www.e-tar.lt/portal/lt/legalAct/TAR.29F6134810E4 \t _blank">
        <w:r>
          <w:rPr>
            <w:color w:val="0000FF" w:themeColor="hyperlink"/>
            <w:szCs w:val="24"/>
            <w:lang w:eastAsia="lt-LT"/>
            <w:u w:val="single"/>
          </w:rPr>
          <w:t>71-2891</w:t>
        </w:r>
      </w:fldSimple>
      <w:r>
        <w:rPr>
          <w:color w:val="000000"/>
          <w:szCs w:val="24"/>
          <w:lang w:eastAsia="lt-LT"/>
        </w:rPr>
        <w:t>, Nr. </w:t>
      </w:r>
      <w:fldSimple w:instr="HYPERLINK https://www.e-tar.lt/portal/lt/legalAct/TAR.C61A07E271A8 \t _blank">
        <w:r>
          <w:rPr>
            <w:color w:val="0000FF" w:themeColor="hyperlink"/>
            <w:szCs w:val="24"/>
            <w:lang w:eastAsia="lt-LT"/>
            <w:u w:val="single"/>
          </w:rPr>
          <w:t>93-3967</w:t>
        </w:r>
      </w:fldSimple>
      <w:r>
        <w:rPr>
          <w:color w:val="000000"/>
          <w:szCs w:val="24"/>
          <w:lang w:eastAsia="lt-LT"/>
        </w:rPr>
        <w:t>)</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17 straipsnio pakeitimas ir papildymas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17 straipsnio 6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Valstybės kilnojamasis ir nekilnojamasis materialusis turtas, įsigytas vykdant Lietuvos Respublikos įsipareigojimus, atsirandančius dėl Lietuvos Respublikos narystės Šiaurės Atlanto Sutarties Organizacijoje, Europos Sąjungoje, Jungtinių Tautų Organizacijoje, arba skirtas vykdyti iš tarptautinių sutarčių atsirandantiems įsipareigojimams, kolektyvinės gynybos operacijoms, karinėms operacijoms, tarptautinėms karinėms pratyboms ar karinio bendradarbiavimo renginiams, civilinėms misijoms, gali būti neatlygintinai perduodamas ar parduodamas tarptautinėms organizacijoms, kitų valstybių valstybinėms ar savivaldybių institucijoms, kitų valstybių viešiesiems juridiniams asmenims, jei toks neatlygintinas perdavimas ar pardavimas atitinka Lietuvos Respublikos tarptautinius įsipareigojimus arba Seimo patvirtintą Nacionalinio saugumo strategiją. Sprendimą dėl šioje dalyje nurodyto turto neatlygintino perdavimo arba pardavimo be konkurso priima turto valdytojas, jei perduodamas ar parduodamas trumpalaikis turtas, išskyrus pinigines lėšas, ar kilnojamasis ilgalaikis materialusis turtas, kurio likutinė vertė ne didesnė negu vienas šimtas tūkstančių litų, arba Vyriausybė, jei perduodamas ar parduodamas nekilnojamasis turtas ar kilnojamasis ilgalaikis materialusis turtas, kurio likutinė vertė didesnė negu vienas šimtas tūkstančių litų. Vyriausybės arba turto valdytojo sprendime turi būti nurodyta valstybės institucija ar įstaiga, sudaranti turto perdavimo arba pardavimo sandorį, perduodamas arba parduodamas turtas, jo naudojimo sąlygos ir tvarka.“</w:t>
      </w:r>
    </w:p>
    <w:p>
      <w:pPr>
        <w:widowControl w:val="0"/>
        <w:ind w:firstLine="567"/>
        <w:jc w:val="both"/>
        <w:rPr>
          <w:color w:val="000000"/>
          <w:szCs w:val="24"/>
          <w:lang w:eastAsia="lt-LT"/>
        </w:rPr>
      </w:pPr>
      <w:r>
        <w:rPr>
          <w:color w:val="000000"/>
          <w:szCs w:val="24"/>
          <w:lang w:eastAsia="lt-LT"/>
        </w:rPr>
        <w:t>2</w:t>
      </w:r>
      <w:r>
        <w:rPr>
          <w:color w:val="000000"/>
          <w:szCs w:val="24"/>
          <w:lang w:eastAsia="lt-LT"/>
        </w:rPr>
        <w:t>. Papildyti 17 straipsnį nauja 7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Valstybės nekilnojamasis turtas ar kilnojamasis ilgalaikis materialusis turtas, kurio likutinė vertė didesnė negu vienas šimtas tūkstančių litų ir skirtas vystomojo bendradarbiavimo veiklai vykdyti arba humanitarinei pagalbai teikti, gali būti neatlygintinai perduodamas tarptautinių organizacijų, kitų valstybių valstybinių ar savivaldybių institucijų, kitų valstybių viešųjų juridinių asmenų nuosavybėn Vyriausybės sprendimu, o valstybės trumpalaikis turtas, išskyrus pinigines lėšas, ir kilnojamasis ilgalaikis materialusis turtas, kurio likutinė vertė ne didesnė negu vienas šimtas tūkstančių litų ir skirtas vystomojo bendradarbiavimo veiklai vykdyti arba humanitarinei pagalbai teikti, – turto valdytojo sprendimu. Savivaldybės kilnojamasis ir nekilnojamasis materialusis turtas, skirtas vystomojo bendradarbiavimo veiklai vykdyti arba humanitarinei pagalbai teikti, gali būti neatlygintinai perduodamas tarptautinių organizacijų, kitų valstybių valstybinių ar savivaldybių institucijų, kitų valstybių viešųjų juridinių asmenų nuosavybėn savivaldybės tarybos sprendimu.“</w:t>
      </w:r>
    </w:p>
    <w:p>
      <w:pPr>
        <w:widowControl w:val="0"/>
        <w:ind w:firstLine="567"/>
        <w:jc w:val="both"/>
        <w:rPr>
          <w:color w:val="000000"/>
          <w:szCs w:val="24"/>
          <w:lang w:eastAsia="lt-LT"/>
        </w:rPr>
      </w:pPr>
      <w:r>
        <w:rPr>
          <w:color w:val="000000"/>
          <w:szCs w:val="24"/>
          <w:lang w:eastAsia="lt-LT"/>
        </w:rPr>
        <w:t>3</w:t>
      </w:r>
      <w:r>
        <w:rPr>
          <w:color w:val="000000"/>
          <w:szCs w:val="24"/>
          <w:lang w:eastAsia="lt-LT"/>
        </w:rPr>
        <w:t>. Papildyti 17 straipsnį 8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Šio straipsnio 6 ir 7 dalyse nurodyto valstybės turto neatlygintino perdavimo arba pardavimo be konkurso tvarką nustato Vyriausybė ir paskiria už šios tvarkos įgyvendinimo priežiūrą atsakingą instituciją.“</w:t>
      </w:r>
    </w:p>
    <w:p>
      <w:pPr>
        <w:widowControl w:val="0"/>
        <w:ind w:firstLine="567"/>
        <w:jc w:val="both"/>
        <w:rPr>
          <w:color w:val="000000"/>
          <w:szCs w:val="24"/>
          <w:lang w:eastAsia="lt-LT"/>
        </w:rPr>
      </w:pPr>
      <w:r>
        <w:rPr>
          <w:color w:val="000000"/>
          <w:szCs w:val="24"/>
          <w:lang w:eastAsia="lt-LT"/>
        </w:rPr>
        <w:t>4</w:t>
      </w:r>
      <w:r>
        <w:rPr>
          <w:color w:val="000000"/>
          <w:szCs w:val="24"/>
          <w:lang w:eastAsia="lt-LT"/>
        </w:rPr>
        <w:t>. Buvusią 17 straipsnio 7 dalį laikyti 9 dalimi.</w:t>
      </w:r>
    </w:p>
    <w:p>
      <w:pPr>
        <w:widowControl w:val="0"/>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 ir įgyvendinimas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išskyrus šio straipsnio 2 dalį, įsigalioja 2013 m. spalio 1 d.</w:t>
      </w:r>
    </w:p>
    <w:p>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Vyriausybė arba jos įgaliota valstybės institucija iki šio įstatymo įsigaliojimo priima šio įstatymo įgyvendinamuosius teisės aktus.</w:t>
      </w:r>
    </w:p>
    <w:p>
      <w:pPr>
        <w:widowControl w:val="0"/>
        <w:ind w:firstLine="567"/>
        <w:jc w:val="both"/>
        <w:rPr>
          <w:color w:val="000000"/>
          <w:szCs w:val="24"/>
          <w:lang w:eastAsia="lt-LT"/>
        </w:rPr>
      </w:pPr>
    </w:p>
    <w:p>
      <w:pPr>
        <w:widowControl w:val="0"/>
        <w:ind w:firstLine="567"/>
        <w:jc w:val="both"/>
        <w:rPr>
          <w:i/>
          <w:iCs/>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3352</Characters>
  <Application>Microsoft Office Word</Application>
  <DocSecurity>4</DocSecurity>
  <Lines>60</Lines>
  <Paragraphs>20</Paragraphs>
  <ScaleCrop>false</ScaleCrop>
  <Company/>
  <LinksUpToDate>false</LinksUpToDate>
  <CharactersWithSpaces>3786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2015-10-04T01:00:00Z</dcterms:created>
  <dc:creator>Rima</dc:creator>
  <lastModifiedBy>Adlib User</lastModifiedBy>
  <dcterms:modified xsi:type="dcterms:W3CDTF">2015-10-04T01:00:00Z</dcterms:modified>
  <revision>2</revision>
  <dc:title>LIETUVOS RESPUBLIKOS VALSTYBĖS IR SAVIVALDYBIŲ TURTO VALDYMO, NAUDOJIMO IR DISPONAVIMO JUO ĮSTATYMO 17 STRAIPSNIO PAKEITIMO IR PAPILDYMO ĮSTATYMAS</dc:title>
</coreProperties>
</file>