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GYVENTOJŲ PAJAMŲ MOKESČIO ĮSTATYMO 17 STRAIPSNIO PAKEITIMO IR PAPILDYMO ĮSTATYMAS</w:t>
      </w:r>
    </w:p>
    <w:p>
      <w:pPr>
        <w:widowControl w:val="0"/>
        <w:suppressAutoHyphens/>
        <w:jc w:val="center"/>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2013 m. balandžio 23 d. Nr. XII-251</w:t>
      </w:r>
    </w:p>
    <w:p>
      <w:pPr>
        <w:keepLines/>
        <w:widowControl w:val="0"/>
        <w:suppressAutoHyphens/>
        <w:jc w:val="center"/>
        <w:rPr>
          <w:color w:val="000000"/>
          <w:szCs w:val="24"/>
          <w:lang w:eastAsia="lt-LT"/>
        </w:rPr>
      </w:pPr>
      <w:r>
        <w:rPr>
          <w:color w:val="000000"/>
          <w:szCs w:val="24"/>
          <w:lang w:eastAsia="lt-LT"/>
        </w:rPr>
        <w:t>Vilnius</w:t>
      </w:r>
    </w:p>
    <w:p>
      <w:pPr>
        <w:keepLines/>
        <w:widowControl w:val="0"/>
        <w:suppressAutoHyphens/>
        <w:jc w:val="center"/>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(Žin., 2002, Nr. </w:t>
      </w:r>
      <w:fldSimple w:instr="HYPERLINK https://www.e-tar.lt/portal/lt/legalAct/TAR.C677663D2202 \t _blank">
        <w:r>
          <w:rPr>
            <w:color w:val="0000FF" w:themeColor="hyperlink"/>
            <w:szCs w:val="24"/>
            <w:lang w:eastAsia="lt-LT"/>
            <w:u w:val="single"/>
          </w:rPr>
          <w:t>73-3085</w:t>
        </w:r>
      </w:fldSimple>
      <w:r>
        <w:rPr>
          <w:color w:val="000000"/>
          <w:szCs w:val="24"/>
          <w:lang w:eastAsia="lt-LT"/>
        </w:rPr>
        <w:t>, Nr. </w:t>
      </w:r>
      <w:fldSimple w:instr="HYPERLINK https://www.e-tar.lt/portal/lt/legalAct/TAR.876F872F5AAB \t _blank">
        <w:r>
          <w:rPr>
            <w:color w:val="0000FF" w:themeColor="hyperlink"/>
            <w:szCs w:val="24"/>
            <w:lang w:eastAsia="lt-LT"/>
            <w:u w:val="single"/>
          </w:rPr>
          <w:t>123-5539</w:t>
        </w:r>
      </w:fldSimple>
      <w:r>
        <w:rPr>
          <w:color w:val="000000"/>
          <w:szCs w:val="24"/>
          <w:lang w:eastAsia="lt-LT"/>
        </w:rPr>
        <w:t>; 2003, Nr. </w:t>
      </w:r>
      <w:fldSimple w:instr="HYPERLINK https://www.e-tar.lt/portal/lt/legalAct/TAR.02D60A14C87C \t _blank">
        <w:r>
          <w:rPr>
            <w:color w:val="0000FF" w:themeColor="hyperlink"/>
            <w:szCs w:val="24"/>
            <w:lang w:eastAsia="lt-LT"/>
            <w:u w:val="single"/>
          </w:rPr>
          <w:t>42-1925</w:t>
        </w:r>
      </w:fldSimple>
      <w:r>
        <w:rPr>
          <w:color w:val="000000"/>
          <w:szCs w:val="24"/>
          <w:lang w:eastAsia="lt-LT"/>
        </w:rPr>
        <w:t>, Nr. </w:t>
      </w:r>
      <w:fldSimple w:instr="HYPERLINK https://www.e-tar.lt/portal/lt/legalAct/TAR.BE308623E2E0 \t _blank">
        <w:r>
          <w:rPr>
            <w:color w:val="0000FF" w:themeColor="hyperlink"/>
            <w:szCs w:val="24"/>
            <w:lang w:eastAsia="lt-LT"/>
            <w:u w:val="single"/>
          </w:rPr>
          <w:t>75-3474</w:t>
        </w:r>
      </w:fldSimple>
      <w:r>
        <w:rPr>
          <w:color w:val="000000"/>
          <w:szCs w:val="24"/>
          <w:lang w:eastAsia="lt-LT"/>
        </w:rPr>
        <w:t>, Nr. </w:t>
      </w:r>
      <w:fldSimple w:instr="HYPERLINK https://www.e-tar.lt/portal/lt/legalAct/TAR.B77576A7F7F3 \t _blank">
        <w:r>
          <w:rPr>
            <w:color w:val="0000FF" w:themeColor="hyperlink"/>
            <w:szCs w:val="24"/>
            <w:lang w:eastAsia="lt-LT"/>
            <w:u w:val="single"/>
          </w:rPr>
          <w:t>102-4586</w:t>
        </w:r>
      </w:fldSimple>
      <w:r>
        <w:rPr>
          <w:color w:val="000000"/>
          <w:szCs w:val="24"/>
          <w:lang w:eastAsia="lt-LT"/>
        </w:rPr>
        <w:t>, Nr. </w:t>
      </w:r>
      <w:fldSimple w:instr="HYPERLINK https://www.e-tar.lt/portal/lt/legalAct/TAR.0BD4947834DF \t _blank">
        <w:r>
          <w:rPr>
            <w:color w:val="0000FF" w:themeColor="hyperlink"/>
            <w:szCs w:val="24"/>
            <w:lang w:eastAsia="lt-LT"/>
            <w:u w:val="single"/>
          </w:rPr>
          <w:t>123-5585</w:t>
        </w:r>
      </w:fldSimple>
      <w:r>
        <w:rPr>
          <w:color w:val="000000"/>
          <w:szCs w:val="24"/>
          <w:lang w:eastAsia="lt-LT"/>
        </w:rPr>
        <w:t>; 2004, Nr. </w:t>
      </w:r>
      <w:fldSimple w:instr="HYPERLINK https://www.e-tar.lt/portal/lt/legalAct/TAR.F78895983AA6 \t _blank">
        <w:r>
          <w:rPr>
            <w:color w:val="0000FF" w:themeColor="hyperlink"/>
            <w:szCs w:val="24"/>
            <w:lang w:eastAsia="lt-LT"/>
            <w:u w:val="single"/>
          </w:rPr>
          <w:t>25-749</w:t>
        </w:r>
      </w:fldSimple>
      <w:r>
        <w:rPr>
          <w:color w:val="000000"/>
          <w:szCs w:val="24"/>
          <w:lang w:eastAsia="lt-LT"/>
        </w:rPr>
        <w:t>, Nr. </w:t>
      </w:r>
      <w:fldSimple w:instr="HYPERLINK https://www.e-tar.lt/portal/lt/legalAct/TAR.8A5FC9B93F15 \t _blank">
        <w:r>
          <w:rPr>
            <w:color w:val="0000FF" w:themeColor="hyperlink"/>
            <w:szCs w:val="24"/>
            <w:lang w:eastAsia="lt-LT"/>
            <w:u w:val="single"/>
          </w:rPr>
          <w:t>60-2118</w:t>
        </w:r>
      </w:fldSimple>
      <w:r>
        <w:rPr>
          <w:color w:val="000000"/>
          <w:szCs w:val="24"/>
          <w:lang w:eastAsia="lt-LT"/>
        </w:rPr>
        <w:t>, Nr. </w:t>
      </w:r>
      <w:fldSimple w:instr="HYPERLINK https://www.e-tar.lt/portal/lt/legalAct/TAR.9A41C818F5F4 \t _blank">
        <w:r>
          <w:rPr>
            <w:color w:val="0000FF" w:themeColor="hyperlink"/>
            <w:szCs w:val="24"/>
            <w:lang w:eastAsia="lt-LT"/>
            <w:u w:val="single"/>
          </w:rPr>
          <w:t>73-2535</w:t>
        </w:r>
      </w:fldSimple>
      <w:r>
        <w:rPr>
          <w:color w:val="000000"/>
          <w:szCs w:val="24"/>
          <w:lang w:eastAsia="lt-LT"/>
        </w:rPr>
        <w:t>, Nr. </w:t>
      </w:r>
      <w:fldSimple w:instr="HYPERLINK https://www.e-tar.lt/portal/lt/legalAct/TAR.770DDEDE7A78 \t _blank">
        <w:r>
          <w:rPr>
            <w:color w:val="0000FF" w:themeColor="hyperlink"/>
            <w:szCs w:val="24"/>
            <w:lang w:eastAsia="lt-LT"/>
            <w:u w:val="single"/>
          </w:rPr>
          <w:t>158-5757</w:t>
        </w:r>
      </w:fldSimple>
      <w:r>
        <w:rPr>
          <w:color w:val="000000"/>
          <w:szCs w:val="24"/>
          <w:lang w:eastAsia="lt-LT"/>
        </w:rPr>
        <w:t>, Nr. </w:t>
      </w:r>
      <w:fldSimple w:instr="HYPERLINK https://www.e-tar.lt/portal/lt/legalAct/TAR.50CB57548C2E \t _blank">
        <w:r>
          <w:rPr>
            <w:color w:val="0000FF" w:themeColor="hyperlink"/>
            <w:szCs w:val="24"/>
            <w:lang w:eastAsia="lt-LT"/>
            <w:u w:val="single"/>
          </w:rPr>
          <w:t>167-6108</w:t>
        </w:r>
      </w:fldSimple>
      <w:r>
        <w:rPr>
          <w:color w:val="000000"/>
          <w:szCs w:val="24"/>
          <w:lang w:eastAsia="lt-LT"/>
        </w:rPr>
        <w:t>; 2005, Nr. </w:t>
      </w:r>
      <w:fldSimple w:instr="HYPERLINK https://www.e-tar.lt/portal/lt/legalAct/TAR.176D8F1C555D \t _blank">
        <w:r>
          <w:rPr>
            <w:color w:val="0000FF" w:themeColor="hyperlink"/>
            <w:szCs w:val="24"/>
            <w:lang w:eastAsia="lt-LT"/>
            <w:u w:val="single"/>
          </w:rPr>
          <w:t>76-2744</w:t>
        </w:r>
      </w:fldSimple>
      <w:r>
        <w:rPr>
          <w:color w:val="000000"/>
          <w:szCs w:val="24"/>
          <w:lang w:eastAsia="lt-LT"/>
        </w:rPr>
        <w:t>, Nr. </w:t>
      </w:r>
      <w:fldSimple w:instr="HYPERLINK https://www.e-tar.lt/portal/lt/legalAct/TAR.908201CFCB80 \t _blank">
        <w:r>
          <w:rPr>
            <w:color w:val="0000FF" w:themeColor="hyperlink"/>
            <w:szCs w:val="24"/>
            <w:lang w:eastAsia="lt-LT"/>
            <w:u w:val="single"/>
          </w:rPr>
          <w:t>81-2943</w:t>
        </w:r>
      </w:fldSimple>
      <w:r>
        <w:rPr>
          <w:color w:val="000000"/>
          <w:szCs w:val="24"/>
          <w:lang w:eastAsia="lt-LT"/>
        </w:rPr>
        <w:t>, Nr. </w:t>
      </w:r>
      <w:fldSimple w:instr="HYPERLINK https://www.e-tar.lt/portal/lt/legalAct/TAR.F3F7168AFD0D \t _blank">
        <w:r>
          <w:rPr>
            <w:color w:val="0000FF" w:themeColor="hyperlink"/>
            <w:szCs w:val="24"/>
            <w:lang w:eastAsia="lt-LT"/>
            <w:u w:val="single"/>
          </w:rPr>
          <w:t>153-5634</w:t>
        </w:r>
      </w:fldSimple>
      <w:r>
        <w:rPr>
          <w:color w:val="000000"/>
          <w:szCs w:val="24"/>
          <w:lang w:eastAsia="lt-LT"/>
        </w:rPr>
        <w:t>; 2006, Nr. </w:t>
      </w:r>
      <w:fldSimple w:instr="HYPERLINK https://www.e-tar.lt/portal/lt/legalAct/TAR.D0E0A0E75030 \t _blank">
        <w:r>
          <w:rPr>
            <w:color w:val="0000FF" w:themeColor="hyperlink"/>
            <w:szCs w:val="24"/>
            <w:lang w:eastAsia="lt-LT"/>
            <w:u w:val="single"/>
          </w:rPr>
          <w:t>41-1462</w:t>
        </w:r>
      </w:fldSimple>
      <w:r>
        <w:rPr>
          <w:color w:val="000000"/>
          <w:szCs w:val="24"/>
          <w:lang w:eastAsia="lt-LT"/>
        </w:rPr>
        <w:t>, Nr. </w:t>
      </w:r>
      <w:fldSimple w:instr="HYPERLINK https://www.e-tar.lt/portal/lt/legalAct/TAR.B15884538315 \t _blank">
        <w:r>
          <w:rPr>
            <w:color w:val="0000FF" w:themeColor="hyperlink"/>
            <w:szCs w:val="24"/>
            <w:lang w:eastAsia="lt-LT"/>
            <w:u w:val="single"/>
          </w:rPr>
          <w:t>48-1702</w:t>
        </w:r>
      </w:fldSimple>
      <w:r>
        <w:rPr>
          <w:color w:val="000000"/>
          <w:szCs w:val="24"/>
          <w:lang w:eastAsia="lt-LT"/>
        </w:rPr>
        <w:t>, Nr. </w:t>
      </w:r>
      <w:fldSimple w:instr="HYPERLINK https://www.e-tar.lt/portal/lt/legalAct/TAR.1E474A7255C6 \t _blank">
        <w:r>
          <w:rPr>
            <w:color w:val="0000FF" w:themeColor="hyperlink"/>
            <w:szCs w:val="24"/>
            <w:lang w:eastAsia="lt-LT"/>
            <w:u w:val="single"/>
          </w:rPr>
          <w:t>50-1801</w:t>
        </w:r>
      </w:fldSimple>
      <w:r>
        <w:rPr>
          <w:color w:val="000000"/>
          <w:szCs w:val="24"/>
          <w:lang w:eastAsia="lt-LT"/>
        </w:rPr>
        <w:t>, Nr. </w:t>
      </w:r>
      <w:fldSimple w:instr="HYPERLINK https://www.e-tar.lt/portal/lt/legalAct/TAR.3C07B356A407 \t _blank">
        <w:r>
          <w:rPr>
            <w:color w:val="0000FF" w:themeColor="hyperlink"/>
            <w:szCs w:val="24"/>
            <w:lang w:eastAsia="lt-LT"/>
            <w:u w:val="single"/>
          </w:rPr>
          <w:t>82-3249</w:t>
        </w:r>
      </w:fldSimple>
      <w:r>
        <w:rPr>
          <w:color w:val="000000"/>
          <w:szCs w:val="24"/>
          <w:lang w:eastAsia="lt-LT"/>
        </w:rPr>
        <w:t>, Nr. </w:t>
      </w:r>
      <w:fldSimple w:instr="HYPERLINK https://www.e-tar.lt/portal/lt/legalAct/TAR.1513E88A244C \t _blank">
        <w:r>
          <w:rPr>
            <w:color w:val="0000FF" w:themeColor="hyperlink"/>
            <w:szCs w:val="24"/>
            <w:lang w:eastAsia="lt-LT"/>
            <w:u w:val="single"/>
          </w:rPr>
          <w:t>82-3263</w:t>
        </w:r>
      </w:fldSimple>
      <w:r>
        <w:rPr>
          <w:color w:val="000000"/>
          <w:szCs w:val="24"/>
          <w:lang w:eastAsia="lt-LT"/>
        </w:rPr>
        <w:t>, Nr. </w:t>
      </w:r>
      <w:fldSimple w:instr="HYPERLINK https://www.e-tar.lt/portal/lt/legalAct/TAR.1E2780F35D7E \t _blank">
        <w:r>
          <w:rPr>
            <w:color w:val="0000FF" w:themeColor="hyperlink"/>
            <w:szCs w:val="24"/>
            <w:lang w:eastAsia="lt-LT"/>
            <w:u w:val="single"/>
          </w:rPr>
          <w:t>111-4197</w:t>
        </w:r>
      </w:fldSimple>
      <w:r>
        <w:rPr>
          <w:color w:val="000000"/>
          <w:szCs w:val="24"/>
          <w:lang w:eastAsia="lt-LT"/>
        </w:rPr>
        <w:t>, Nr. </w:t>
      </w:r>
      <w:fldSimple w:instr="HYPERLINK https://www.e-tar.lt/portal/lt/legalAct/TAR.F7E88C68271F \t _blank">
        <w:r>
          <w:rPr>
            <w:color w:val="0000FF" w:themeColor="hyperlink"/>
            <w:szCs w:val="24"/>
            <w:lang w:eastAsia="lt-LT"/>
            <w:u w:val="single"/>
          </w:rPr>
          <w:t>127-4821</w:t>
        </w:r>
      </w:fldSimple>
      <w:r>
        <w:rPr>
          <w:color w:val="000000"/>
          <w:szCs w:val="24"/>
          <w:lang w:eastAsia="lt-LT"/>
        </w:rPr>
        <w:t>; 2008, Nr. </w:t>
      </w:r>
      <w:fldSimple w:instr="HYPERLINK https://www.e-tar.lt/portal/lt/legalAct/TAR.706AFBAFD66E \t _blank">
        <w:r>
          <w:rPr>
            <w:color w:val="0000FF" w:themeColor="hyperlink"/>
            <w:szCs w:val="24"/>
            <w:lang w:eastAsia="lt-LT"/>
            <w:u w:val="single"/>
          </w:rPr>
          <w:t>47-1750</w:t>
        </w:r>
      </w:fldSimple>
      <w:r>
        <w:rPr>
          <w:color w:val="000000"/>
          <w:szCs w:val="24"/>
          <w:lang w:eastAsia="lt-LT"/>
        </w:rPr>
        <w:t>, Nr. </w:t>
      </w:r>
      <w:fldSimple w:instr="HYPERLINK https://www.e-tar.lt/portal/lt/legalAct/TAR.9808A36FA9A6 \t _blank">
        <w:r>
          <w:rPr>
            <w:color w:val="0000FF" w:themeColor="hyperlink"/>
            <w:szCs w:val="24"/>
            <w:lang w:eastAsia="lt-LT"/>
            <w:u w:val="single"/>
          </w:rPr>
          <w:t>63-2381</w:t>
        </w:r>
      </w:fldSimple>
      <w:r>
        <w:rPr>
          <w:color w:val="000000"/>
          <w:szCs w:val="24"/>
          <w:lang w:eastAsia="lt-LT"/>
        </w:rPr>
        <w:t>, Nr. </w:t>
      </w:r>
      <w:fldSimple w:instr="HYPERLINK https://www.e-tar.lt/portal/lt/legalAct/TAR.5C3DCED3CF99 \t _blank">
        <w:r>
          <w:rPr>
            <w:color w:val="0000FF" w:themeColor="hyperlink"/>
            <w:szCs w:val="24"/>
            <w:lang w:eastAsia="lt-LT"/>
            <w:u w:val="single"/>
          </w:rPr>
          <w:t>149-6028</w:t>
        </w:r>
      </w:fldSimple>
      <w:r>
        <w:rPr>
          <w:color w:val="000000"/>
          <w:szCs w:val="24"/>
          <w:lang w:eastAsia="lt-LT"/>
        </w:rPr>
        <w:t>, Nr. </w:t>
      </w:r>
      <w:fldSimple w:instr="HYPERLINK https://www.e-tar.lt/portal/lt/legalAct/TAR.B5EAFD4D3B0B \t _blank">
        <w:r>
          <w:rPr>
            <w:color w:val="0000FF" w:themeColor="hyperlink"/>
            <w:szCs w:val="24"/>
            <w:lang w:eastAsia="lt-LT"/>
            <w:u w:val="single"/>
          </w:rPr>
          <w:t>149-6029</w:t>
        </w:r>
      </w:fldSimple>
      <w:r>
        <w:rPr>
          <w:color w:val="000000"/>
          <w:szCs w:val="24"/>
          <w:lang w:eastAsia="lt-LT"/>
        </w:rPr>
        <w:t>, Nr. </w:t>
      </w:r>
      <w:fldSimple w:instr="HYPERLINK https://www.e-tar.lt/portal/lt/legalAct/TAR.A0FCF5DD97FC \t _blank">
        <w:r>
          <w:rPr>
            <w:color w:val="0000FF" w:themeColor="hyperlink"/>
            <w:szCs w:val="24"/>
            <w:lang w:eastAsia="lt-LT"/>
            <w:u w:val="single"/>
          </w:rPr>
          <w:t>149-6033</w:t>
        </w:r>
      </w:fldSimple>
      <w:r>
        <w:rPr>
          <w:color w:val="000000"/>
          <w:szCs w:val="24"/>
          <w:lang w:eastAsia="lt-LT"/>
        </w:rPr>
        <w:t>; 2009, Nr. </w:t>
      </w:r>
      <w:fldSimple w:instr="HYPERLINK https://www.e-tar.lt/portal/lt/legalAct/TAR.472225A22370 \t _blank">
        <w:r>
          <w:rPr>
            <w:color w:val="0000FF" w:themeColor="hyperlink"/>
            <w:szCs w:val="24"/>
            <w:lang w:eastAsia="lt-LT"/>
            <w:u w:val="single"/>
          </w:rPr>
          <w:t>25-978</w:t>
        </w:r>
      </w:fldSimple>
      <w:r>
        <w:rPr>
          <w:color w:val="000000"/>
          <w:szCs w:val="24"/>
          <w:lang w:eastAsia="lt-LT"/>
        </w:rPr>
        <w:t>, Nr. </w:t>
      </w:r>
      <w:fldSimple w:instr="HYPERLINK https://www.e-tar.lt/portal/lt/legalAct/TAR.481AC673A602 \t _blank">
        <w:r>
          <w:rPr>
            <w:color w:val="0000FF" w:themeColor="hyperlink"/>
            <w:szCs w:val="24"/>
            <w:lang w:eastAsia="lt-LT"/>
            <w:u w:val="single"/>
          </w:rPr>
          <w:t>93-3977</w:t>
        </w:r>
      </w:fldSimple>
      <w:r>
        <w:rPr>
          <w:color w:val="000000"/>
          <w:szCs w:val="24"/>
          <w:lang w:eastAsia="lt-LT"/>
        </w:rPr>
        <w:t>, Nr. </w:t>
      </w:r>
      <w:fldSimple w:instr="HYPERLINK https://www.e-tar.lt/portal/lt/legalAct/TAR.B3C480AD2946 \t _blank">
        <w:r>
          <w:rPr>
            <w:color w:val="0000FF" w:themeColor="hyperlink"/>
            <w:szCs w:val="24"/>
            <w:lang w:eastAsia="lt-LT"/>
            <w:u w:val="single"/>
          </w:rPr>
          <w:t>153-6882</w:t>
        </w:r>
      </w:fldSimple>
      <w:r>
        <w:rPr>
          <w:color w:val="000000"/>
          <w:szCs w:val="24"/>
          <w:lang w:eastAsia="lt-LT"/>
        </w:rPr>
        <w:t>; 2010, Nr. </w:t>
      </w:r>
      <w:fldSimple w:instr="HYPERLINK https://www.e-tar.lt/portal/lt/legalAct/TAR.B1171A5214B2 \t _blank">
        <w:r>
          <w:rPr>
            <w:color w:val="0000FF" w:themeColor="hyperlink"/>
            <w:szCs w:val="24"/>
            <w:lang w:eastAsia="lt-LT"/>
            <w:u w:val="single"/>
          </w:rPr>
          <w:t>125-6386</w:t>
        </w:r>
      </w:fldSimple>
      <w:r>
        <w:rPr>
          <w:color w:val="000000"/>
          <w:szCs w:val="24"/>
          <w:lang w:eastAsia="lt-LT"/>
        </w:rPr>
        <w:t>, Nr. </w:t>
      </w:r>
      <w:fldSimple w:instr="HYPERLINK https://www.e-tar.lt/portal/lt/legalAct/TAR.65D094A8CB46 \t _blank">
        <w:r>
          <w:rPr>
            <w:color w:val="0000FF" w:themeColor="hyperlink"/>
            <w:szCs w:val="24"/>
            <w:lang w:eastAsia="lt-LT"/>
            <w:u w:val="single"/>
          </w:rPr>
          <w:t>145-7410</w:t>
        </w:r>
      </w:fldSimple>
      <w:r>
        <w:rPr>
          <w:color w:val="000000"/>
          <w:szCs w:val="24"/>
          <w:lang w:eastAsia="lt-LT"/>
        </w:rPr>
        <w:t>; 2012, Nr. </w:t>
      </w:r>
      <w:fldSimple w:instr="HYPERLINK https://www.e-tar.lt/portal/lt/legalAct/TAR.959A70430703 \t _blank">
        <w:r>
          <w:rPr>
            <w:color w:val="0000FF" w:themeColor="hyperlink"/>
            <w:szCs w:val="24"/>
            <w:lang w:eastAsia="lt-LT"/>
            <w:u w:val="single"/>
          </w:rPr>
          <w:t>136-6966</w:t>
        </w:r>
      </w:fldSimple>
      <w:r>
        <w:rPr>
          <w:color w:val="000000"/>
          <w:szCs w:val="24"/>
          <w:lang w:eastAsia="lt-LT"/>
        </w:rPr>
        <w:t>)</w:t>
      </w:r>
    </w:p>
    <w:p>
      <w:pPr>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17 straipsnio pakeitimas ir papildymas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Pakeisti 17 straipsnio 1 dalies 9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pasibaigus draudimo sutarties galiojimo terminui gauta gyvybės draudimo išmoka pagal gyvybės draudimo sutartį, sudarytą nuo 2003 m. sausio 1 d. iki 2012 m. gruodžio 31 d., ir kurioje numatyta, kad draudimo išmoka išmokama ne tik įvykus draudžiamajam įvykiui, bet ir pasibaigus draudimo sutarties galiojimo terminui, jeigu gyvybės draudimo sutarties terminas yra ne trumpesnis kaip 5 metai ir išmokos gavimo momentu išmokos gavėjas yra sulaukęs 55 metų</w:t>
      </w:r>
      <w:r>
        <w:rPr>
          <w:b/>
          <w:bCs/>
          <w:color w:val="000000"/>
          <w:szCs w:val="24"/>
          <w:lang w:eastAsia="lt-LT"/>
        </w:rPr>
        <w:t xml:space="preserve"> </w:t>
      </w:r>
      <w:r>
        <w:rPr>
          <w:color w:val="000000"/>
          <w:szCs w:val="24"/>
          <w:lang w:eastAsia="lt-LT"/>
        </w:rPr>
        <w:t>arba išmokos gavimo momentu išmokos gavėjui yra nustatytas 0–25 procentų ar 30–40 procentų darbingumo lygis, arba išmokos gavėjas yra neįgalus vaikas, kuriam nustatytas specialusis nuolatinės slaugos poreikis, taip pat nutraukus tokią sutartį gyventojui mokamos sumos, jeigu sutartis nutraukta ne anksčiau kaip praėjus 5 metams nuo jos sudarymo dienos ir gyventojas yra sulaukęs 55 metų arba išmokos gavimo momentu išmokos gavėjui yra nustatytas 0–25 procentų ar 30–40 procentų darbingumo lygis, arba išmokos gavėjas yra neįgalus vaikas, kuriam nustatytas specialusis nuolatinės slaugos poreikis;“.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Papildyti 17 straipsnio 1 dalį 9</w:t>
      </w:r>
      <w:r>
        <w:rPr>
          <w:color w:val="000000"/>
          <w:szCs w:val="24"/>
          <w:vertAlign w:val="superscript"/>
          <w:lang w:eastAsia="lt-LT"/>
        </w:rPr>
        <w:t>1</w:t>
      </w:r>
      <w:r>
        <w:rPr>
          <w:color w:val="000000"/>
          <w:szCs w:val="24"/>
          <w:lang w:eastAsia="lt-LT"/>
        </w:rPr>
        <w:t> punktu:</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vertAlign w:val="superscript"/>
          <w:lang w:eastAsia="lt-LT"/>
        </w:rPr>
        <w:t>1</w:t>
      </w:r>
      <w:r>
        <w:rPr>
          <w:color w:val="000000"/>
          <w:szCs w:val="24"/>
          <w:lang w:eastAsia="lt-LT"/>
        </w:rPr>
        <w:t>) pasibaigus draudimo sutarties galiojimo terminui gauta gyvybės draudimo išmoka pagal gyvybės draudimo sutartį, kuri sudaryta nuo 2013 m. sausio 1 d. ir kurioje numatyta, kad draudimo išmoka išmokama ne tik įvykus draudžiamajam įvykiui, bet ir pasibaigus draudimo sutarties galiojimo terminui, jeigu gyvybės draudimo sutarties terminas yra ne trumpesnis kaip 5 metai ir išmokos gavimo momentu išmokos gavėjui iki senatvės pensijos amžiaus, nustatyto gyvybės draudimo sutarties sudarymo metu galiojusiame Lietuvos Respublikos valstybinių socialinio draudimo pensijų įstatyme (toliau – Valstybinių socialinio draudimo pensijų įstatymas), yra likę ne daugiau kaip 5 metai arba išmokos gavimo momentu išmokos gavėjui yra nustatytas 0–25 procentų ar 30–40 procentų darbingumo lygis, arba išmokos gavėjas yra neįgalus vaikas, kuriam nustatytas specialusis nuolatinės slaugos poreikis, taip pat nutraukus gyvybės draudimo sutartį gyventojui mokamos sumos, jeigu sutartis nutraukta ne anksčiau kaip praėjus 5 metams nuo jos sudarymo dienos ir gyventojui iki senatvės pensijos amžiaus, nustatyto gyvybės draudimo sutarties sudarymo metu galiojusiame Valstybinių socialinio draudimo pensijų įstatyme, yra likę ne daugiau kaip 5 metai arba išmokos gavimo momentu išmokos gavėjui yra nustatytas 0–25 procentų ar 30–40 procentų darbingumo lygis, arba išmokos gavėjas yra neįgalus vaikas, kuriam nustatytas specialusis nuolatinės slaugos poreikis;“.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Pakeisti 17 straipsnio 1 dalies 14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14</w:t>
      </w:r>
      <w:r>
        <w:rPr>
          <w:color w:val="000000"/>
          <w:szCs w:val="24"/>
          <w:lang w:eastAsia="lt-LT"/>
        </w:rPr>
        <w:t>) darbuotojo naudai darbdavio mokamų gyvybės draudimo įmokų pagal gyvybės draudimo sutartį, sudarytą iki 2012 m. gruodžio 31 d.,</w:t>
      </w:r>
      <w:r>
        <w:rPr>
          <w:b/>
          <w:bCs/>
          <w:color w:val="000000"/>
          <w:szCs w:val="24"/>
          <w:lang w:eastAsia="lt-LT"/>
        </w:rPr>
        <w:t xml:space="preserve"> </w:t>
      </w:r>
      <w:r>
        <w:rPr>
          <w:color w:val="000000"/>
          <w:szCs w:val="24"/>
          <w:lang w:eastAsia="lt-LT"/>
        </w:rPr>
        <w:t>kai draudimo sutarties terminas ne trumpesnis kaip 10 metų arba kai draudimo išmoka išmokama apdraustajam sulaukus 55 metų, ir draudimo įmokų už papildomą (savanorišką) sveikatos draudimą, kai draudimo objektas yra apdraustojo sveikatos priežiūros paslaugų apmokėjimas, ir pensijų įmokų į pensijų sąskaitą pensijų fonde suma, per mokestinį laikotarpį neviršijanti 25 procentų per mokestinį laikotarpį darbuotojui apskaičiuotų su darbo santykiais susijusių pajamų;“.</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Papildyti 17 straipsnio 1 dalį 14</w:t>
      </w:r>
      <w:r>
        <w:rPr>
          <w:color w:val="000000"/>
          <w:szCs w:val="24"/>
          <w:vertAlign w:val="superscript"/>
          <w:lang w:eastAsia="lt-LT"/>
        </w:rPr>
        <w:t>1</w:t>
      </w:r>
      <w:r>
        <w:rPr>
          <w:color w:val="000000"/>
          <w:szCs w:val="24"/>
          <w:lang w:eastAsia="lt-LT"/>
        </w:rPr>
        <w:t> punktu:</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14</w:t>
      </w:r>
      <w:r>
        <w:rPr>
          <w:color w:val="000000"/>
          <w:szCs w:val="24"/>
          <w:vertAlign w:val="superscript"/>
          <w:lang w:eastAsia="lt-LT"/>
        </w:rPr>
        <w:t>1</w:t>
      </w:r>
      <w:r>
        <w:rPr>
          <w:color w:val="000000"/>
          <w:szCs w:val="24"/>
          <w:lang w:eastAsia="lt-LT"/>
        </w:rPr>
        <w:t>) darbuotojo naudai darbdavio mokamų gyvybės draudimo įmokų pagal gyvybės draudimo sutartį, sudarytą nuo 2013 m. sausio 1 d., kai draudimo sutarties terminas ne trumpesnis kaip 10 metų arba kai draudimo išmoka išmokama apdraustajam, kuriam iki senatvės pensijos amžiaus, nustatyto gyvybės draudimo sutarties sudarymo metu galiojusiame Valstybinių socialinio draudimo pensijų įstatyme, yra likę ne daugiau kaip 5 metai, ir draudimo įmokų už papildomą (savanorišką) sveikatos draudimą, kai draudimo objektas yra apdraustojo sveikatos priežiūros paslaugų apmokėjimas, ir pensijų įmokų į pensijų sąskaitą pensijų fonde suma, per mokestinį laikotarpį neviršijanti 25 procentų per mokestinį laikotarpį darbuotojui apskaičiuotų su darbo santykiais susijusių pajamų;“.</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Pakeisti 17 straipsnio 1 dalies 16 punktą ir jį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16</w:t>
      </w:r>
      <w:r>
        <w:rPr>
          <w:color w:val="000000"/>
          <w:szCs w:val="24"/>
          <w:lang w:eastAsia="lt-LT"/>
        </w:rPr>
        <w:t>) pagal iki 2012 m. gruodžio 31 d. sudarytą pensijų kaupimo sutartį iš pensijų fondo gauta pensijų išmoka, jeigu pensijų kaupimo sutarties terminas yra ne trumpesnis kaip 5 metai ir išmoką gaunantis pensijų fondo dalyvis yra</w:t>
      </w:r>
      <w:r>
        <w:rPr>
          <w:b/>
          <w:bCs/>
          <w:color w:val="000000"/>
          <w:szCs w:val="24"/>
          <w:lang w:eastAsia="lt-LT"/>
        </w:rPr>
        <w:t xml:space="preserve"> </w:t>
      </w:r>
      <w:r>
        <w:rPr>
          <w:color w:val="000000"/>
          <w:szCs w:val="24"/>
          <w:lang w:eastAsia="lt-LT"/>
        </w:rPr>
        <w:t>sulaukęs 55 metų, taip pat gyventojui išstojus iš pensijų fondo ir neperėjus į kitą pensijų fondą išmokama suma, jeigu išstojama iš pensijų fondo ne anksčiau kaip praėjus 5 metams nuo pensijų kaupimo sutarties sudarymo dienos ir pensijų išmoką gaunantis pensijų fondo dalyvis yra</w:t>
      </w:r>
      <w:r>
        <w:rPr>
          <w:b/>
          <w:bCs/>
          <w:color w:val="000000"/>
          <w:szCs w:val="24"/>
          <w:lang w:eastAsia="lt-LT"/>
        </w:rPr>
        <w:t xml:space="preserve"> </w:t>
      </w:r>
      <w:r>
        <w:rPr>
          <w:color w:val="000000"/>
          <w:szCs w:val="24"/>
          <w:lang w:eastAsia="lt-LT"/>
        </w:rPr>
        <w:t>sulaukęs 55 metų;“.</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Papildyti 17 straipsnio 1 dalį 16</w:t>
      </w:r>
      <w:r>
        <w:rPr>
          <w:color w:val="000000"/>
          <w:szCs w:val="24"/>
          <w:vertAlign w:val="superscript"/>
          <w:lang w:eastAsia="lt-LT"/>
        </w:rPr>
        <w:t>1</w:t>
      </w:r>
      <w:r>
        <w:rPr>
          <w:color w:val="000000"/>
          <w:szCs w:val="24"/>
          <w:lang w:eastAsia="lt-LT"/>
        </w:rPr>
        <w:t> punktu:</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16</w:t>
      </w:r>
      <w:r>
        <w:rPr>
          <w:color w:val="000000"/>
          <w:szCs w:val="24"/>
          <w:vertAlign w:val="superscript"/>
          <w:lang w:eastAsia="lt-LT"/>
        </w:rPr>
        <w:t>1</w:t>
      </w:r>
      <w:r>
        <w:rPr>
          <w:color w:val="000000"/>
          <w:szCs w:val="24"/>
          <w:lang w:eastAsia="lt-LT"/>
        </w:rPr>
        <w:t>) iš pensijų fondo gauta pensijų išmoka, jeigu pagal nuo 2013 m. sausio 1 d. sudarytą pensijų kaupimo sutartį šios sutarties terminas yra ne trumpesnis kaip 5 metai ir išmoką gaunančiam pensijų fondo dalyviui iki senatvės pensijos amžiaus, nustatyto pensijų kaupimo sutarties sudarymo metu galiojusiame Valstybinių socialinio draudimo pensijų įstatyme, yra likę ne daugiau kaip 5 metai, taip pat gyventojui išstojus iš pensijų fondo ir neperėjus į kitą pensijų fondą išmokama suma, jeigu išstojama iš pensijų fondo ne anksčiau kaip praėjus 5 metams nuo pensijų kaupimo sutarties sudarymo dienos ir išmoką gaunančiam pensijų fondo dalyviui iki senatvės pensijos amžiaus, nustatyto pensijų kaupimo sutarties sudarymo metu galiojusiame Valstybinių socialinio draudimo pensijų įstatyme, yra likę ne daugiau kaip 5 metai;“.</w:t>
      </w: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Pakeisti 17 straipsnio 2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Šio straipsnio 1 dalies 7, 8, 9, 9</w:t>
      </w:r>
      <w:r>
        <w:rPr>
          <w:color w:val="000000"/>
          <w:szCs w:val="24"/>
          <w:vertAlign w:val="superscript"/>
          <w:lang w:eastAsia="lt-LT"/>
        </w:rPr>
        <w:t>1</w:t>
      </w:r>
      <w:r>
        <w:rPr>
          <w:color w:val="000000"/>
          <w:szCs w:val="24"/>
          <w:lang w:eastAsia="lt-LT"/>
        </w:rPr>
        <w:t>,10, 11, 12, 13, 14, 14</w:t>
      </w:r>
      <w:r>
        <w:rPr>
          <w:color w:val="000000"/>
          <w:szCs w:val="24"/>
          <w:vertAlign w:val="superscript"/>
          <w:lang w:eastAsia="lt-LT"/>
        </w:rPr>
        <w:t>1</w:t>
      </w:r>
      <w:r>
        <w:rPr>
          <w:color w:val="000000"/>
          <w:szCs w:val="24"/>
          <w:lang w:eastAsia="lt-LT"/>
        </w:rPr>
        <w:t>, 15, 16, 16</w:t>
      </w:r>
      <w:r>
        <w:rPr>
          <w:color w:val="000000"/>
          <w:szCs w:val="24"/>
          <w:vertAlign w:val="superscript"/>
          <w:lang w:eastAsia="lt-LT"/>
        </w:rPr>
        <w:t>1</w:t>
      </w:r>
      <w:r>
        <w:rPr>
          <w:color w:val="000000"/>
          <w:szCs w:val="24"/>
          <w:lang w:eastAsia="lt-LT"/>
        </w:rPr>
        <w:t>, 17, 18, 19, 20, 23, 24, 27, 28, 29, 30, 32, 33, 34, 36, 39, 40, 42, 46 ir 53 punktuose nustatytos lengvatos, taip pat 26 punkte nustatyta lengvata dovanojimo būdu iš kitų negu sutuoktinis, vaikai (įvaikiai), tėvai (įtėviai), broliai, seserys, vaikaičiai ir seneliai gautoms pajamoms netaikomos, jeigu gyventojo atitinkamos pajamos gautos iš užsienio vienetų, įregistruotų ar kitaip organizuotų tikslinėse teritorijose, ar gyventojų, kurių nuolatinė gyvenamoji vieta yra tikslinėje teritorijoje.“</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Papildyti 17 straipsnį 4 dalimi:</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Šio straipsnio 1 dalies 14</w:t>
      </w:r>
      <w:r>
        <w:rPr>
          <w:color w:val="000000"/>
          <w:szCs w:val="24"/>
          <w:vertAlign w:val="superscript"/>
          <w:lang w:eastAsia="lt-LT"/>
        </w:rPr>
        <w:t>1</w:t>
      </w:r>
      <w:r>
        <w:rPr>
          <w:color w:val="000000"/>
          <w:szCs w:val="24"/>
          <w:lang w:eastAsia="lt-LT"/>
        </w:rPr>
        <w:t> punkte nustatyta lengvata taikoma, kai įmokų gavėjas yra vienetas, įregistruotas ar kitaip organizuotas Europos ekonominės erdvės valstybėje.“</w:t>
      </w:r>
    </w:p>
    <w:p>
      <w:pPr>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taikymas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Šio įstatymo 1 straipsnio 1, 3 ir 5 dalys taikomos apskaičiuojant ir deklaruojant 2012 metų ir vėlesnių mokestinių laikotarpių pajamas.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Šio įstatymo 2, 4, 6, 7 ir 8 dalys taikomos apskaičiuojant ir deklaruojant 2013 metų ir vėlesnių mokestinių laikotarpių pajamas.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 xml:space="preserve">RESPUBLIKOS PREZIDENTĖ </w:t>
        <w:tab/>
        <w:t>DALIA GRYBAUSKAITĖ</w:t>
      </w:r>
    </w:p>
    <w:p>
      <w:pPr>
        <w:widowControl w:val="0"/>
        <w:suppressAutoHyphens/>
        <w:jc w:val="center"/>
        <w:rPr>
          <w:color w:val="000000"/>
          <w:sz w:val="16"/>
          <w:szCs w:val="16"/>
          <w:lang w:eastAsia="lt-LT"/>
        </w:rPr>
      </w:pPr>
    </w:p>
    <w:p>
      <w:pPr>
        <w:widowControl w:val="0"/>
        <w:suppressAutoHyphens/>
        <w:jc w:val="center"/>
        <w:rPr>
          <w:color w:val="000000"/>
          <w:szCs w:val="24"/>
          <w:lang w:eastAsia="lt-LT"/>
        </w:rPr>
      </w:pPr>
      <w:r>
        <w:rPr>
          <w:color w:val="000000"/>
          <w:szCs w:val="24"/>
          <w:lang w:eastAsia="lt-LT"/>
        </w:rPr>
        <w:t>_________________</w:t>
      </w: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6433</Characters>
  <Application>Microsoft Office Word</Application>
  <DocSecurity>4</DocSecurity>
  <Lines>105</Lines>
  <Paragraphs>31</Paragraphs>
  <ScaleCrop>false</ScaleCrop>
  <Company>Teisines informacijos centras</Company>
  <LinksUpToDate>false</LinksUpToDate>
  <CharactersWithSpaces>7472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2015-09-13T23:37:00Z</dcterms:created>
  <dc:creator>Kamilija</dc:creator>
  <lastModifiedBy>Adlib User</lastModifiedBy>
  <dcterms:modified xsi:type="dcterms:W3CDTF">2015-09-13T23:37:00Z</dcterms:modified>
  <revision>2</revision>
  <dc:title>LIETUVOS RESPUBLIKOS GYVENTOJŲ PAJAMŲ MOKESČIO ĮSTATYMO 17 STRAIPSNIO PAKEITIMO IR PAPILDYMO ĮSTATYMAS</dc:title>
</coreProperties>
</file>