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CIVILINIO PROCESO KODEKSO 27 STRAIPSNIO PAKEITIMO ĮSTATYMAS</w:t>
      </w: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 m. kovo 28 d. Nr. XII-218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(Žin., 2002, Nr. </w:t>
      </w:r>
      <w:fldSimple w:instr="HYPERLINK https://www.e-tar.lt/portal/lt/legalAct/TAR.2E7C18F61454 \t _blank">
        <w:r>
          <w:rPr>
            <w:color w:val="0000FF" w:themeColor="hyperlink"/>
            <w:szCs w:val="24"/>
            <w:lang w:eastAsia="lt-LT"/>
            <w:u w:val="single"/>
          </w:rPr>
          <w:t>36-1340</w:t>
        </w:r>
      </w:fldSimple>
      <w:r>
        <w:rPr>
          <w:color w:val="000000"/>
          <w:szCs w:val="24"/>
          <w:lang w:eastAsia="lt-LT"/>
        </w:rPr>
        <w:t xml:space="preserve">; 2011, Nr. </w:t>
      </w:r>
      <w:fldSimple w:instr="HYPERLINK https://www.e-tar.lt/portal/lt/legalAct/TAR.10D407E502F2 \t _blank">
        <w:r>
          <w:rPr>
            <w:color w:val="0000FF" w:themeColor="hyperlink"/>
            <w:szCs w:val="24"/>
            <w:lang w:eastAsia="lt-LT"/>
            <w:u w:val="single"/>
          </w:rPr>
          <w:t>85-4126</w:t>
        </w:r>
      </w:fldSimple>
      <w:r>
        <w:rPr>
          <w:color w:val="000000"/>
          <w:szCs w:val="24"/>
          <w:lang w:eastAsia="lt-LT"/>
        </w:rPr>
        <w:t>)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27 straipsnio 4 punkto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Pakeisti 27 straipsnio 4 punktą ir jį išdėstyti taip: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dėl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bankroto ir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restruktūrizavimo, išskyrus bylas dėl fizinių asmenų bankroto;“.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taikymas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Iki šio įstatymo įsigaliojimo pradėtos nagrinėti fizinių asmenų bankroto bylos baigiamos nagrinėti vadovaujantis iki šio įstatymo įsigaliojimo galiojusiomis fizinių asmenų bankroto bylų nagrinėjimą reglamentuojančiomis nuostatomis.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650</Characters>
  <Application>Microsoft Office Word</Application>
  <DocSecurity>4</DocSecurity>
  <Lines>22</Lines>
  <Paragraphs>13</Paragraphs>
  <ScaleCrop>false</ScaleCrop>
  <Company/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2015-09-19T06:25:00Z</dcterms:created>
  <dc:creator>Rima</dc:creator>
  <lastModifiedBy>Adlib User</lastModifiedBy>
  <dcterms:modified xsi:type="dcterms:W3CDTF">2015-09-19T06:25:00Z</dcterms:modified>
  <revision>2</revision>
  <dc:title>LIETUVOS RESPUBLIKOS CIVILINIO PROCESO KODEKSO 27 STRAIPSNIO PAKEITIMO ĮSTATYMAS</dc:title>
</coreProperties>
</file>