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FC2D" w14:textId="32F86715" w:rsidR="00BB77F2" w:rsidRDefault="00760825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LIETUVOS RESPUBLIKOS </w:t>
      </w:r>
      <w:r>
        <w:rPr>
          <w:b/>
          <w:bCs/>
          <w:caps/>
          <w:color w:val="000000"/>
          <w:szCs w:val="24"/>
          <w:lang w:eastAsia="lt-LT"/>
        </w:rPr>
        <w:br/>
      </w:r>
      <w:r>
        <w:rPr>
          <w:b/>
          <w:bCs/>
          <w:caps/>
          <w:color w:val="000000"/>
          <w:szCs w:val="24"/>
          <w:lang w:eastAsia="lt-LT"/>
        </w:rPr>
        <w:t xml:space="preserve">CIVILINIO PROCESO KODEKSO PAKEITIMO IR PAPILDYMO ĮSTATYMO 117 IR 387 STRAIPSNIŲ PAKEITIMO </w:t>
      </w:r>
      <w:r>
        <w:rPr>
          <w:b/>
          <w:bCs/>
          <w:caps/>
          <w:color w:val="000000"/>
          <w:szCs w:val="24"/>
          <w:lang w:eastAsia="lt-LT"/>
        </w:rPr>
        <w:br/>
      </w:r>
      <w:r>
        <w:rPr>
          <w:b/>
          <w:bCs/>
          <w:caps/>
          <w:color w:val="000000"/>
          <w:szCs w:val="24"/>
          <w:lang w:eastAsia="lt-LT"/>
        </w:rPr>
        <w:t>ĮSTATYMAS</w:t>
      </w:r>
    </w:p>
    <w:p w14:paraId="0729FC2E" w14:textId="77777777" w:rsidR="00BB77F2" w:rsidRDefault="00BB77F2">
      <w:pPr>
        <w:widowControl w:val="0"/>
        <w:jc w:val="center"/>
        <w:rPr>
          <w:color w:val="000000"/>
          <w:szCs w:val="24"/>
          <w:lang w:eastAsia="lt-LT"/>
        </w:rPr>
      </w:pPr>
    </w:p>
    <w:p w14:paraId="0729FC2F" w14:textId="77777777" w:rsidR="00BB77F2" w:rsidRDefault="0076082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2012 m. gruodžio 20 d. Nr. XII-72</w:t>
      </w:r>
    </w:p>
    <w:p w14:paraId="0729FC30" w14:textId="77777777" w:rsidR="00BB77F2" w:rsidRDefault="0076082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0729FC31" w14:textId="77777777" w:rsidR="00BB77F2" w:rsidRDefault="00BB77F2">
      <w:pPr>
        <w:widowControl w:val="0"/>
        <w:jc w:val="center"/>
        <w:rPr>
          <w:color w:val="000000"/>
          <w:szCs w:val="24"/>
          <w:lang w:eastAsia="lt-LT"/>
        </w:rPr>
      </w:pPr>
    </w:p>
    <w:p w14:paraId="0729FC32" w14:textId="77777777" w:rsidR="00BB77F2" w:rsidRDefault="00760825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(Žin., 2011,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85-4126</w:t>
        </w:r>
      </w:hyperlink>
      <w:r>
        <w:rPr>
          <w:color w:val="000000"/>
          <w:szCs w:val="24"/>
          <w:lang w:eastAsia="lt-LT"/>
        </w:rPr>
        <w:t>)</w:t>
      </w:r>
    </w:p>
    <w:p w14:paraId="0729FC33" w14:textId="77777777" w:rsidR="00BB77F2" w:rsidRDefault="00BB77F2">
      <w:pPr>
        <w:ind w:firstLine="567"/>
        <w:jc w:val="both"/>
        <w:rPr>
          <w:szCs w:val="24"/>
          <w:lang w:eastAsia="lt-LT"/>
        </w:rPr>
      </w:pPr>
    </w:p>
    <w:p w14:paraId="0729FC34" w14:textId="77777777" w:rsidR="00BB77F2" w:rsidRDefault="00760825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117 straipsnio pakeitimas</w:t>
      </w:r>
    </w:p>
    <w:p w14:paraId="0729FC35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117 straipsnyje išdėstytą Lietuvos Respublikos civilinio proceso kodekso 175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straipsnį ir jį išdėstyti taip:</w:t>
      </w:r>
    </w:p>
    <w:p w14:paraId="0729FC36" w14:textId="77777777" w:rsidR="00BB77F2" w:rsidRDefault="00BB77F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729FC37" w14:textId="77777777" w:rsidR="00BB77F2" w:rsidRDefault="00760825">
      <w:pPr>
        <w:widowControl w:val="0"/>
        <w:ind w:left="2280" w:hanging="171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175</w:t>
      </w:r>
      <w:r>
        <w:rPr>
          <w:b/>
          <w:bCs/>
          <w:color w:val="000000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Informacinių ir elektroninių ryšių technologijų naudojimo teismo procese ypatumai</w:t>
      </w:r>
    </w:p>
    <w:p w14:paraId="0729FC38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Be šio Kodekso, informacinių ir elektroninių ryšių technologijų naudojimo teismo procese, taip pat elektroninės bylos tvarkymo ypatumus nustato Teismų į</w:t>
      </w:r>
      <w:r>
        <w:rPr>
          <w:color w:val="000000"/>
          <w:szCs w:val="24"/>
          <w:lang w:eastAsia="lt-LT"/>
        </w:rPr>
        <w:t>statymas.</w:t>
      </w:r>
    </w:p>
    <w:p w14:paraId="0729FC39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Procesiniai dokumentai teismui gali būti pateikiami elektroninės formos elektroninių ryšių priemonėmis. Procesinių dokumentų pateikimo teismui elektroninių ryšių priemonėmis tvarką ir formą nustato teisingumo ministras.</w:t>
      </w:r>
    </w:p>
    <w:p w14:paraId="0729FC3A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Procesiniame</w:t>
      </w:r>
      <w:r>
        <w:rPr>
          <w:color w:val="000000"/>
          <w:szCs w:val="24"/>
          <w:lang w:eastAsia="lt-LT"/>
        </w:rPr>
        <w:t xml:space="preserve"> dokumente, pateikiamame teismui elektroninių ryšių priemonėmis, be šio Kodekso 111 straipsnyje nustatytų reikalavimų, turi būti:</w:t>
      </w:r>
    </w:p>
    <w:p w14:paraId="0729FC3B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) dalyvaujančių byloje asmenų elektroninio pašto adresai, telefono ir fakso numeriai, kitų turimų elektroninių ryšių </w:t>
      </w:r>
      <w:r>
        <w:rPr>
          <w:color w:val="000000"/>
          <w:szCs w:val="24"/>
          <w:lang w:eastAsia="lt-LT"/>
        </w:rPr>
        <w:t>priemonių adresai, pareiškėjui žinomi kitų dalyvaujančių byloje asmenų elektroninio pašto adresai, telefono ir fakso numeriai, kitų turimų elektroninių ryšių priemonių adresai;</w:t>
      </w:r>
    </w:p>
    <w:p w14:paraId="0729FC3C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asmenų, kuriems šiame Kodekse nenustatyta pareiga gauti procesinius doku</w:t>
      </w:r>
      <w:r>
        <w:rPr>
          <w:color w:val="000000"/>
          <w:szCs w:val="24"/>
          <w:lang w:eastAsia="lt-LT"/>
        </w:rPr>
        <w:t>mentus elektroninių ryšių priemonėmis, pageidavimai dėl procesinių dokumentų įteikimo elektroninių ryšių priemonėmis. Asmenys, kuriems šiame Kodekse nustatyta pareiga gauti procesinius dokumentus elektroninių ryšių priemonėmis, taip pat asmenys, kurie išre</w:t>
      </w:r>
      <w:r>
        <w:rPr>
          <w:color w:val="000000"/>
          <w:szCs w:val="24"/>
          <w:lang w:eastAsia="lt-LT"/>
        </w:rPr>
        <w:t>iškia pageidavimą gauti procesinius dokumentus elektroninių ryšių priemonėmis, privalo nurodyti savo elektroninio pašto adresus, telefono ir fakso numerius, kitų turimų elektroninių ryšių priemonių adresus.</w:t>
      </w:r>
    </w:p>
    <w:p w14:paraId="0729FC3D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Dalyvaujantys byloje asmenys privalo ned</w:t>
      </w:r>
      <w:r>
        <w:rPr>
          <w:color w:val="000000"/>
          <w:szCs w:val="24"/>
          <w:lang w:eastAsia="lt-LT"/>
        </w:rPr>
        <w:t>elsdami pranešti teismui ir kitiems dalyvaujantiems byloje asmenims apie kiekvieną savo elektroninio pašto adreso, telefono ir fakso numerių, taip pat kitų elektroninių ryšių priemonių adresų pasikeitimą.</w:t>
      </w:r>
    </w:p>
    <w:p w14:paraId="0729FC3E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Kai byla vedama per advokatą, be šio Kodekso</w:t>
      </w:r>
      <w:r>
        <w:rPr>
          <w:color w:val="000000"/>
          <w:szCs w:val="24"/>
          <w:lang w:eastAsia="lt-LT"/>
        </w:rPr>
        <w:t xml:space="preserve"> 135 ir 142 straipsniuose nustatytų reikalavimų, atitinkamai ieškinyje arba atsiliepime į ieškinį taip pat nurodomas advokato elektroninio pašto adresas, telefono ir fakso numeriai, kitų turimų elektroninių ryšių priemonių adresai.</w:t>
      </w:r>
    </w:p>
    <w:p w14:paraId="0729FC3F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Elektroninės form</w:t>
      </w:r>
      <w:r>
        <w:rPr>
          <w:color w:val="000000"/>
          <w:szCs w:val="24"/>
          <w:lang w:eastAsia="lt-LT"/>
        </w:rPr>
        <w:t>os procesiniai dokumentai, pateikti teismui elektroninių ryšių priemonėmis asmens tapatybę patvirtinus Teismų įstatyme nustatytais būdais, atitinka šio Kodekso 111 straipsnyje nustatytą reikalavimą, kad procesinis dokumentas turi būti pasirašytas.</w:t>
      </w:r>
    </w:p>
    <w:p w14:paraId="0729FC40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E</w:t>
      </w:r>
      <w:r>
        <w:rPr>
          <w:color w:val="000000"/>
          <w:szCs w:val="24"/>
          <w:lang w:eastAsia="lt-LT"/>
        </w:rPr>
        <w:t>lektroniniai duomenys teismui pateikiami teisingumo ministro nustatyta tvarka ir forma. Elektroninių duomenų įrodomoji galia yra tokia pat kaip ir kitų įrodymų.</w:t>
      </w:r>
    </w:p>
    <w:p w14:paraId="0729FC41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Jeigu procesiniai dokumentai išsiųsti elektroninių ryšių priemonėmis iki paskutinės term</w:t>
      </w:r>
      <w:r>
        <w:rPr>
          <w:color w:val="000000"/>
          <w:szCs w:val="24"/>
          <w:lang w:eastAsia="lt-LT"/>
        </w:rPr>
        <w:t>ino dienos dvidešimt ketvirtos valandos nulis minučių, procesinis terminas nelaikomas praleistu.</w:t>
      </w:r>
    </w:p>
    <w:p w14:paraId="0729FC42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Advokatams, advokatų padėjėjams, antstoliams, antstolių padėjėjams, notarams, valstybės ir savivaldybių įmonėms, įstaigoms ir organizacijoms, finansų įs</w:t>
      </w:r>
      <w:r>
        <w:rPr>
          <w:color w:val="000000"/>
          <w:szCs w:val="24"/>
          <w:lang w:eastAsia="lt-LT"/>
        </w:rPr>
        <w:t>taigoms, draudimo įmonėms teismas procesinius dokumentus įteikia elektroninių ryšių priemonėmis. Be to, elektroninių ryšių priemonėmis dokumentai įteikiami asmenims, kuriems teisės aktuose ar su teismų informacinės sistemos valdytoju sudarytoje sutartyje n</w:t>
      </w:r>
      <w:r>
        <w:rPr>
          <w:color w:val="000000"/>
          <w:szCs w:val="24"/>
          <w:lang w:eastAsia="lt-LT"/>
        </w:rPr>
        <w:t xml:space="preserve">ustatyta pareiga gauti procesinius dokumentus elektroninių </w:t>
      </w:r>
      <w:r>
        <w:rPr>
          <w:color w:val="000000"/>
          <w:szCs w:val="24"/>
          <w:lang w:eastAsia="lt-LT"/>
        </w:rPr>
        <w:lastRenderedPageBreak/>
        <w:t>ryšių priemonėmis. Kitiems asmenims teismas procesinius dokumentus įteikia elektroninių ryšių priemonėmis, jeigu jie šio Kodekso nustatyta tvarka pageidavo procesinius dokumentus gauti elektroninių</w:t>
      </w:r>
      <w:r>
        <w:rPr>
          <w:color w:val="000000"/>
          <w:szCs w:val="24"/>
          <w:lang w:eastAsia="lt-LT"/>
        </w:rPr>
        <w:t xml:space="preserve"> ryšių priemonėmis ir yra nurodę reikalingus kontaktinius duomenis. Procesinių dokumentų įteikimo elektroninių ryšių priemonėmis tvarką ir formą nustato teisingumo ministras.</w:t>
      </w:r>
    </w:p>
    <w:p w14:paraId="0729FC43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. Šio Kodekso nustatytais atvejais ir tvarka įteikiant dalyvaujančiam byloj</w:t>
      </w:r>
      <w:r>
        <w:rPr>
          <w:color w:val="000000"/>
          <w:szCs w:val="24"/>
          <w:lang w:eastAsia="lt-LT"/>
        </w:rPr>
        <w:t>e asmeniui procesinį dokumentą elektroninių ryšių priemonėmis, procesinio dokumento įteikimo dalyvaujančiam byloje asmeniui diena laikoma po procesinio dokumento išsiuntimo dienos einanti darbo diena.“</w:t>
      </w:r>
    </w:p>
    <w:p w14:paraId="0729FC44" w14:textId="77777777" w:rsidR="00BB77F2" w:rsidRDefault="00760825">
      <w:pPr>
        <w:ind w:firstLine="567"/>
        <w:jc w:val="both"/>
        <w:rPr>
          <w:szCs w:val="24"/>
          <w:lang w:eastAsia="lt-LT"/>
        </w:rPr>
      </w:pPr>
    </w:p>
    <w:bookmarkStart w:id="0" w:name="_GoBack" w:displacedByCustomXml="next"/>
    <w:bookmarkEnd w:id="0" w:displacedByCustomXml="next"/>
    <w:p w14:paraId="0729FC45" w14:textId="77777777" w:rsidR="00BB77F2" w:rsidRDefault="00760825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387 straipsnio pakeitimas i</w:t>
      </w:r>
      <w:r>
        <w:rPr>
          <w:b/>
          <w:bCs/>
          <w:color w:val="000000"/>
          <w:szCs w:val="24"/>
          <w:lang w:eastAsia="lt-LT"/>
        </w:rPr>
        <w:t>r papildymas</w:t>
      </w:r>
    </w:p>
    <w:p w14:paraId="0729FC46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ir papildyti 387 straipsnį ir jį išdėstyti taip:</w:t>
      </w:r>
    </w:p>
    <w:p w14:paraId="0729FC47" w14:textId="77777777" w:rsidR="00BB77F2" w:rsidRDefault="00BB77F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729FC48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387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 ir taikymas</w:t>
      </w:r>
    </w:p>
    <w:p w14:paraId="0729FC49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Šis įstatymas, išskyrus šio straipsnio 2, 3, 4 ir 5 dalyse nurodytas išimtis ir 388 straipsnį, įsigalioja 2011 m. spalio </w:t>
      </w:r>
      <w:r>
        <w:rPr>
          <w:color w:val="000000"/>
          <w:szCs w:val="24"/>
          <w:lang w:eastAsia="lt-LT"/>
        </w:rPr>
        <w:t>1 d.</w:t>
      </w:r>
    </w:p>
    <w:p w14:paraId="0729FC4A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Šio įstatymo 331 straipsnio 2 dalis, 334, 336, 337, 338, 339, 340, 342, 343, 344 ir 352 straipsniai įsigalioja 2013 m. sausio 1 d.</w:t>
      </w:r>
    </w:p>
    <w:p w14:paraId="0729FC4B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Šio įstatymo 117 straipsnyje išdėstytas Lietuvos Respublikos civilinio proceso kodekso</w:t>
      </w:r>
      <w:r>
        <w:rPr>
          <w:b/>
          <w:bCs/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175</w:t>
      </w:r>
      <w:r>
        <w:rPr>
          <w:color w:val="000000"/>
          <w:szCs w:val="24"/>
          <w:vertAlign w:val="superscript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straipsnis įsigalioja 2013 m. kovo 1 d.</w:t>
      </w:r>
    </w:p>
    <w:p w14:paraId="0729FC4C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Šio įstatymo 117 straipsnyje išdėstyti Lietuvos Respublikos civilinio proceso kodekso XII skyriaus ketvirtojo skirsnio pavadinimas ir 175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straipsnis, 234, 237, 297 ir 385 straipsniai įsigalioja 2013 m. liepo</w:t>
      </w:r>
      <w:r>
        <w:rPr>
          <w:color w:val="000000"/>
          <w:szCs w:val="24"/>
          <w:lang w:eastAsia="lt-LT"/>
        </w:rPr>
        <w:t>s 1 d.</w:t>
      </w:r>
    </w:p>
    <w:p w14:paraId="0729FC4D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Šio įstatymo 115 straipsnis įsigalioja 2014 m. sausio 1 d.</w:t>
      </w:r>
    </w:p>
    <w:p w14:paraId="0729FC4E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Šio įstatymo 37, 39 straipsniai, 51 straipsnio 2 dalis, 125 straipsnio 3 dalis, 278, 279, 294 straipsniai, 303 straipsnio 1 dalis, 320, 324, 368, 369 ir 370 straipsniai įsigali</w:t>
      </w:r>
      <w:r>
        <w:rPr>
          <w:color w:val="000000"/>
          <w:szCs w:val="24"/>
          <w:lang w:eastAsia="lt-LT"/>
        </w:rPr>
        <w:t>oja 2011 m. lapkričio 1 d.</w:t>
      </w:r>
    </w:p>
    <w:p w14:paraId="0729FC4F" w14:textId="77777777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Šio įstatymo 330 straipsnis įsigalioja 2012 m. liepos 1 d.“</w:t>
      </w:r>
    </w:p>
    <w:p w14:paraId="0729FC50" w14:textId="77777777" w:rsidR="00BB77F2" w:rsidRDefault="00760825">
      <w:pPr>
        <w:widowControl w:val="0"/>
        <w:jc w:val="center"/>
        <w:rPr>
          <w:color w:val="000000"/>
          <w:szCs w:val="24"/>
          <w:lang w:eastAsia="lt-LT"/>
        </w:rPr>
      </w:pPr>
    </w:p>
    <w:p w14:paraId="0729FC51" w14:textId="4600ED53" w:rsidR="00BB77F2" w:rsidRDefault="00760825"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 w14:paraId="0729FC52" w14:textId="77777777" w:rsidR="00BB77F2" w:rsidRDefault="00BB77F2">
      <w:pPr>
        <w:widowControl w:val="0"/>
        <w:jc w:val="center"/>
        <w:rPr>
          <w:color w:val="000000"/>
          <w:szCs w:val="24"/>
          <w:lang w:eastAsia="lt-LT"/>
        </w:rPr>
      </w:pPr>
    </w:p>
    <w:p w14:paraId="1138495A" w14:textId="77777777" w:rsidR="00760825" w:rsidRDefault="00760825">
      <w:pPr>
        <w:widowControl w:val="0"/>
        <w:jc w:val="center"/>
        <w:rPr>
          <w:color w:val="000000"/>
          <w:szCs w:val="24"/>
          <w:lang w:eastAsia="lt-LT"/>
        </w:rPr>
      </w:pPr>
    </w:p>
    <w:p w14:paraId="3762C0A3" w14:textId="77777777" w:rsidR="00760825" w:rsidRDefault="00760825">
      <w:pPr>
        <w:widowControl w:val="0"/>
        <w:jc w:val="center"/>
        <w:rPr>
          <w:color w:val="000000"/>
          <w:szCs w:val="24"/>
          <w:lang w:eastAsia="lt-LT"/>
        </w:rPr>
      </w:pPr>
    </w:p>
    <w:p w14:paraId="0729FC53" w14:textId="77777777" w:rsidR="00BB77F2" w:rsidRDefault="00760825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</w:r>
      <w:r>
        <w:rPr>
          <w:caps/>
          <w:color w:val="000000"/>
          <w:szCs w:val="24"/>
          <w:lang w:eastAsia="lt-LT"/>
        </w:rPr>
        <w:tab/>
        <w:t>DALIA GRYBAUSKAITĖ</w:t>
      </w:r>
    </w:p>
    <w:p w14:paraId="0729FC54" w14:textId="7E9757CF" w:rsidR="00BB77F2" w:rsidRDefault="00BB77F2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0729FC56" w14:textId="51C8624F" w:rsidR="00BB77F2" w:rsidRDefault="00760825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 w:rsidR="00BB77F2" w:rsidSect="00760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73B17" w14:textId="77777777" w:rsidR="00760825" w:rsidRDefault="00760825" w:rsidP="00760825">
      <w:r>
        <w:separator/>
      </w:r>
    </w:p>
  </w:endnote>
  <w:endnote w:type="continuationSeparator" w:id="0">
    <w:p w14:paraId="715F9665" w14:textId="77777777" w:rsidR="00760825" w:rsidRDefault="00760825" w:rsidP="0076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EBAA" w14:textId="77777777" w:rsidR="00760825" w:rsidRDefault="0076082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E4203" w14:textId="77777777" w:rsidR="00760825" w:rsidRDefault="0076082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D373" w14:textId="77777777" w:rsidR="00760825" w:rsidRDefault="007608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649F" w14:textId="77777777" w:rsidR="00760825" w:rsidRDefault="00760825" w:rsidP="00760825">
      <w:r>
        <w:separator/>
      </w:r>
    </w:p>
  </w:footnote>
  <w:footnote w:type="continuationSeparator" w:id="0">
    <w:p w14:paraId="64658948" w14:textId="77777777" w:rsidR="00760825" w:rsidRDefault="00760825" w:rsidP="0076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3DD53" w14:textId="77777777" w:rsidR="00760825" w:rsidRDefault="0076082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05511"/>
      <w:docPartObj>
        <w:docPartGallery w:val="Page Numbers (Top of Page)"/>
        <w:docPartUnique/>
      </w:docPartObj>
    </w:sdtPr>
    <w:sdtContent>
      <w:p w14:paraId="07B2A4F1" w14:textId="0762957C" w:rsidR="00760825" w:rsidRDefault="007608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98A878" w14:textId="77777777" w:rsidR="00760825" w:rsidRDefault="007608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E81F" w14:textId="77777777" w:rsidR="00760825" w:rsidRDefault="007608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75"/>
    <w:rsid w:val="005C6775"/>
    <w:rsid w:val="00760825"/>
    <w:rsid w:val="00B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82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7608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0825"/>
  </w:style>
  <w:style w:type="paragraph" w:styleId="Porat">
    <w:name w:val="footer"/>
    <w:basedOn w:val="prastasis"/>
    <w:link w:val="PoratDiagrama"/>
    <w:rsid w:val="007608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6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0825"/>
    <w:rPr>
      <w:color w:val="808080"/>
    </w:rPr>
  </w:style>
  <w:style w:type="paragraph" w:styleId="Antrats">
    <w:name w:val="header"/>
    <w:basedOn w:val="prastasis"/>
    <w:link w:val="AntratsDiagrama"/>
    <w:uiPriority w:val="99"/>
    <w:rsid w:val="007608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0825"/>
  </w:style>
  <w:style w:type="paragraph" w:styleId="Porat">
    <w:name w:val="footer"/>
    <w:basedOn w:val="prastasis"/>
    <w:link w:val="PoratDiagrama"/>
    <w:rsid w:val="007608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6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10D407E502F2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9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59B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59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3501</Words>
  <Characters>1996</Characters>
  <Application>Microsoft Office Word</Application>
  <DocSecurity>0</DocSecurity>
  <Lines>16</Lines>
  <Paragraphs>10</Paragraphs>
  <ScaleCrop>false</ScaleCrop>
  <Company/>
  <LinksUpToDate>false</LinksUpToDate>
  <CharactersWithSpaces>5487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2015-09-14T23:01:00Z</dcterms:created>
  <dc:creator>Rima</dc:creator>
  <lastModifiedBy>TRAPINSKIENĖ Aušrinė</lastModifiedBy>
  <dcterms:modified xsi:type="dcterms:W3CDTF">2018-12-17T11:28:00Z</dcterms:modified>
  <revision>3</revision>
  <dc:title>LIETUVOS RESPUBLIKOS CIVILINIO PROCESO KODEKSO PAKEITIMO IR PAPILDYMO ĮSTATYMO 117 IR 387 STRAIPSNIŲ PAKEITIMO ĮSTATYMAS</dc:title>
</coreProperties>
</file>