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ĮMONIŲ RESTRUKTŪRIZAVIMO ĮSTATYMO 7 IR 15 STRAIPSNIŲ PAKEITIMO </w:t>
        <w:br/>
        <w:t xml:space="preserve">Į S T A T Y M A S </w:t>
      </w:r>
    </w:p>
    <w:p>
      <w:pPr>
        <w:widowControl w:val="0"/>
        <w:ind w:firstLine="567"/>
        <w:jc w:val="both"/>
        <w:rPr>
          <w:color w:val="000000"/>
        </w:rPr>
      </w:pPr>
    </w:p>
    <w:p>
      <w:pPr>
        <w:widowControl w:val="0"/>
        <w:jc w:val="center"/>
        <w:rPr>
          <w:color w:val="000000"/>
        </w:rPr>
      </w:pPr>
      <w:r>
        <w:rPr>
          <w:color w:val="000000"/>
        </w:rPr>
        <w:t xml:space="preserve">2012 m. lapkričio 6 d. Nr. XI-2327 </w:t>
      </w:r>
    </w:p>
    <w:p>
      <w:pPr>
        <w:widowControl w:val="0"/>
        <w:jc w:val="center"/>
        <w:rPr>
          <w:color w:val="000000"/>
        </w:rPr>
      </w:pPr>
      <w:r>
        <w:rPr>
          <w:color w:val="000000"/>
        </w:rPr>
        <w:t>Vilnius</w:t>
      </w:r>
    </w:p>
    <w:p>
      <w:pPr>
        <w:widowControl w:val="0"/>
        <w:ind w:firstLine="567"/>
        <w:jc w:val="both"/>
        <w:rPr>
          <w:color w:val="000000"/>
        </w:rPr>
      </w:pPr>
    </w:p>
    <w:p>
      <w:pPr>
        <w:widowControl w:val="0"/>
        <w:jc w:val="center"/>
        <w:rPr>
          <w:color w:val="000000"/>
        </w:rPr>
      </w:pPr>
      <w:r>
        <w:rPr>
          <w:color w:val="000000"/>
        </w:rPr>
        <w:t xml:space="preserve">(Žin., 2001, Nr. </w:t>
      </w:r>
      <w:fldSimple w:instr="HYPERLINK https://www.e-tar.lt/portal/lt/legalAct/TAR.C69847B389DF \t _blank">
        <w:r>
          <w:rPr>
            <w:color w:val="0000FF" w:themeColor="hyperlink"/>
            <w:u w:val="single"/>
          </w:rPr>
          <w:t>31-1012</w:t>
        </w:r>
      </w:fldSimple>
      <w:r>
        <w:rPr>
          <w:color w:val="000000"/>
        </w:rPr>
        <w:t xml:space="preserve">; 2010, Nr. </w:t>
      </w:r>
      <w:fldSimple w:instr="HYPERLINK https://www.e-tar.lt/portal/lt/legalAct/TAR.1412C382D30A \t _blank">
        <w:r>
          <w:rPr>
            <w:color w:val="0000FF" w:themeColor="hyperlink"/>
            <w:u w:val="single"/>
          </w:rPr>
          <w:t>86-4529</w:t>
        </w:r>
      </w:fldSimple>
      <w:r>
        <w:rPr>
          <w:color w:val="000000"/>
        </w:rPr>
        <w:t xml:space="preserve">; 2011, Nr. </w:t>
      </w:r>
      <w:fldSimple w:instr="HYPERLINK https://www.e-tar.lt/portal/lt/legalAct/TAR.3FB3594103A4 \t _blank">
        <w:r>
          <w:rPr>
            <w:color w:val="0000FF" w:themeColor="hyperlink"/>
            <w:u w:val="single"/>
          </w:rPr>
          <w:t>74-3543</w:t>
        </w:r>
      </w:fldSimple>
      <w:r>
        <w:rPr>
          <w:color w:val="000000"/>
        </w:rPr>
        <w:t xml:space="preserve">, Nr. </w:t>
      </w:r>
      <w:fldSimple w:instr="HYPERLINK https://www.e-tar.lt/portal/lt/legalAct/TAR.1347AA35A91A \t _blank">
        <w:r>
          <w:rPr>
            <w:color w:val="0000FF" w:themeColor="hyperlink"/>
            <w:u w:val="single"/>
          </w:rPr>
          <w:t>146-6842</w:t>
        </w:r>
      </w:fldSimple>
      <w:r>
        <w:rPr>
          <w:color w:val="000000"/>
        </w:rPr>
        <w:t>)</w:t>
      </w:r>
    </w:p>
    <w:p>
      <w:pPr>
        <w:widowControl w:val="0"/>
      </w:pPr>
    </w:p>
    <w:p>
      <w:pPr>
        <w:widowControl w:val="0"/>
        <w:ind w:firstLine="567"/>
        <w:jc w:val="both"/>
        <w:rPr>
          <w:b/>
          <w:bCs/>
          <w:color w:val="000000"/>
        </w:rPr>
      </w:pPr>
      <w:r>
        <w:rPr>
          <w:b/>
          <w:bCs/>
          <w:color w:val="000000"/>
        </w:rPr>
        <w:t>1</w:t>
      </w:r>
      <w:r>
        <w:rPr>
          <w:b/>
          <w:bCs/>
          <w:color w:val="000000"/>
        </w:rPr>
        <w:t xml:space="preserve"> straipsnis. </w:t>
      </w:r>
      <w:r>
        <w:rPr>
          <w:b/>
          <w:bCs/>
          <w:color w:val="000000"/>
        </w:rPr>
        <w:t>7 straipsnio 2 dalies pakeitimas</w:t>
      </w:r>
    </w:p>
    <w:p>
      <w:pPr>
        <w:widowControl w:val="0"/>
        <w:ind w:firstLine="567"/>
        <w:jc w:val="both"/>
        <w:rPr>
          <w:color w:val="000000"/>
        </w:rPr>
      </w:pPr>
      <w:r>
        <w:rPr>
          <w:color w:val="000000"/>
        </w:rPr>
        <w:t>7 straipsnio 2 dalyje vietoj žodžių „specialiajame interneto tinklalapyje“ įrašyti žodžius „specialioje interneto svetainėje“ ir šią dalį išdėstyti taip:</w:t>
      </w:r>
    </w:p>
    <w:p>
      <w:pPr>
        <w:widowControl w:val="0"/>
        <w:ind w:firstLine="567"/>
        <w:jc w:val="both"/>
        <w:rPr>
          <w:color w:val="000000"/>
        </w:rPr>
      </w:pPr>
      <w:r>
        <w:rPr>
          <w:color w:val="000000"/>
        </w:rPr>
        <w:t>„</w:t>
      </w:r>
      <w:r>
        <w:rPr>
          <w:color w:val="000000"/>
        </w:rPr>
        <w:t>2</w:t>
      </w:r>
      <w:r>
        <w:rPr>
          <w:color w:val="000000"/>
        </w:rPr>
        <w:t>. Dėl pareiškimo iškelti įmonės restruktūrizavimo bylą priėmimo teismas priima nutartį. Teismo nutartis dėl pareiškimo iškelti įmonės restruktūrizavimo bylą priėmimo yra neskundžiama. Teismas ne vėliau kaip kitą darbo dieną nuo nutarties dėl pareiškimo iškelti įmonės restruktūrizavimo bylą priėmimo dienos šios nutarties kopiją išsiunčia įmonei, šio įstatymo 15 straipsnio 3 dalyje nurodytai Lietuvos Respublikos Vyriausybės įgaliotai institucijai, antstoliams, nurodytiems šio įstatymo 6 straipsnio 4 dalies 5 punkte, Juridinių asmenų registro tvarkytojui ir paskelbia informaciją apie nutarties dėl pareiškimo iškelti įmonės restruktūrizavimo bylą priėmimą specialioje interneto svetainėje. Jeigu dėl įmonės buvo priimti teismų ir kitų institucijų sprendimai ir pagal juos išduoti vykdomieji dokumentai, teismui priėmus nutartį dėl pareiškimo iškelti įmonės restruktūrizavimo bylą priėmimo, įmonės turtas (lėšos) pagal šiuos vykdomuosius dokumentus gali būti areštuojamas, tačiau nuo teismo nutarties dėl pareiškimo iškelti įmonės restruktūrizavimo bylą priėmimo dienos šio turto realizavimas ir (ar) išieškojimas sustabdomas. Tuo atveju, jeigu įmonės sąskaitos yra areštuotos ar joms taikomi kiti disponavimo apribojimai, teismas nutartyje dėl pareiškimo iškelti įmonei restruktūrizavimo bylą priėmimo privalo nurodyti, kad iš vienos ar kelių konkrečių sąskaitų gali būti mokami visi įmonės ūkinei komercinei veiklai reikalingi mokėjimai ir įmokos, įskaitant ir privalomąsias įmokas,</w:t>
      </w:r>
      <w:r>
        <w:rPr>
          <w:b/>
          <w:bCs/>
          <w:color w:val="000000"/>
        </w:rPr>
        <w:t xml:space="preserve"> </w:t>
      </w:r>
      <w:r>
        <w:rPr>
          <w:color w:val="000000"/>
        </w:rPr>
        <w:t>neatsižvelgiant į tai, kad sąskaitos yra areštuotos ar joms taikomi kiti disponavimo apribojimai. Jeigu nurodoma vykdyti mokėjimus iš areštuotos sąskaitos, teismo nutartis nedelsiant siunčiama turto arešto aktų registrui.“</w:t>
      </w:r>
    </w:p>
    <w:p>
      <w:pPr>
        <w:widowControl w:val="0"/>
        <w:ind w:firstLine="567"/>
        <w:jc w:val="both"/>
      </w:pPr>
    </w:p>
    <w:p>
      <w:pPr>
        <w:widowControl w:val="0"/>
        <w:ind w:firstLine="567"/>
        <w:jc w:val="both"/>
        <w:rPr>
          <w:b/>
          <w:bCs/>
          <w:color w:val="000000"/>
        </w:rPr>
      </w:pPr>
      <w:r>
        <w:rPr>
          <w:b/>
          <w:bCs/>
          <w:color w:val="000000"/>
        </w:rPr>
        <w:t>2</w:t>
      </w:r>
      <w:r>
        <w:rPr>
          <w:b/>
          <w:bCs/>
          <w:color w:val="000000"/>
        </w:rPr>
        <w:t xml:space="preserve"> straipsnis. </w:t>
      </w:r>
      <w:r>
        <w:rPr>
          <w:b/>
          <w:bCs/>
          <w:color w:val="000000"/>
        </w:rPr>
        <w:t>15 straipsnio 3 dalies pakeitimas</w:t>
      </w:r>
    </w:p>
    <w:p>
      <w:pPr>
        <w:widowControl w:val="0"/>
        <w:ind w:firstLine="567"/>
        <w:jc w:val="both"/>
        <w:rPr>
          <w:color w:val="000000"/>
        </w:rPr>
      </w:pPr>
      <w:r>
        <w:rPr>
          <w:color w:val="000000"/>
        </w:rPr>
        <w:t>15 straipsnio 3 dalyje išbraukti žodžius „skelbti leidinio „Valstybės žinios“ priede „Informaciniai pranešimai“ teikia“ ir šią dalį išdėstyti taip:</w:t>
      </w:r>
    </w:p>
    <w:p>
      <w:pPr>
        <w:widowControl w:val="0"/>
        <w:ind w:firstLine="567"/>
        <w:jc w:val="both"/>
        <w:rPr>
          <w:color w:val="000000"/>
        </w:rPr>
      </w:pPr>
      <w:r>
        <w:rPr>
          <w:color w:val="000000"/>
        </w:rPr>
        <w:t>„</w:t>
      </w:r>
      <w:r>
        <w:rPr>
          <w:color w:val="000000"/>
        </w:rPr>
        <w:t>3</w:t>
      </w:r>
      <w:r>
        <w:rPr>
          <w:color w:val="000000"/>
        </w:rPr>
        <w:t>. Restruktūrizavimo administratoriaus veiklą Restruktūrizavimo administratorių veiklos priežiūros taisyklių nustatyta tvarka prižiūri, duomenis apie įmonės restruktūrizavimą, restruktūrizavimo administratorių sąrašą sudaro, tvarko ir savo interneto svetainėje skelbia Lietuvos Respublikos Vyriausybės įgaliota institucija. Lietuvos Respublikos Vyriausybės įgaliota institucija, prižiūrėdama restruktūrizavimo administratoriaus veiklą, nustatyta tvarka atlieka restruktūrizavimo administratoriaus veiklos patikrinimus ir restruktūrizavimo administratorių veiklos stebėseną.“</w:t>
      </w:r>
    </w:p>
    <w:p>
      <w:pPr>
        <w:widowControl w:val="0"/>
        <w:ind w:firstLine="567"/>
        <w:jc w:val="both"/>
      </w:pPr>
    </w:p>
    <w:p>
      <w:pPr>
        <w:widowControl w:val="0"/>
        <w:ind w:firstLine="567"/>
        <w:jc w:val="both"/>
        <w:rPr>
          <w:b/>
          <w:bCs/>
          <w:color w:val="000000"/>
        </w:rPr>
      </w:pPr>
      <w:r>
        <w:rPr>
          <w:b/>
          <w:bCs/>
          <w:color w:val="000000"/>
        </w:rPr>
        <w:t>3</w:t>
      </w:r>
      <w:r>
        <w:rPr>
          <w:b/>
          <w:bCs/>
          <w:color w:val="000000"/>
        </w:rPr>
        <w:t xml:space="preserve"> straipsnis. </w:t>
      </w:r>
      <w:r>
        <w:rPr>
          <w:b/>
          <w:bCs/>
          <w:color w:val="000000"/>
        </w:rPr>
        <w:t>Įstatymo įsigaliojimas</w:t>
      </w:r>
    </w:p>
    <w:p>
      <w:pPr>
        <w:widowControl w:val="0"/>
        <w:ind w:firstLine="567"/>
        <w:jc w:val="both"/>
        <w:rPr>
          <w:color w:val="000000"/>
        </w:rPr>
      </w:pPr>
      <w:r>
        <w:rPr>
          <w:color w:val="000000"/>
        </w:rPr>
        <w:t>Šis įstatymas įsigalioja 2014 m. sausio 1 d.</w:t>
      </w:r>
    </w:p>
    <w:p>
      <w:pPr>
        <w:widowControl w:val="0"/>
        <w:ind w:firstLine="567"/>
        <w:jc w:val="both"/>
        <w:rPr>
          <w:color w:val="000000"/>
        </w:rPr>
      </w:pPr>
    </w:p>
    <w:p>
      <w:pPr>
        <w:widowControl w:val="0"/>
        <w:ind w:firstLine="567"/>
        <w:jc w:val="both"/>
        <w:rPr>
          <w:i/>
          <w:iCs/>
          <w:color w:val="000000"/>
        </w:rPr>
      </w:pPr>
      <w:r>
        <w:rPr>
          <w:i/>
          <w:iCs/>
          <w:color w:val="000000"/>
        </w:rPr>
        <w:t>Skelbiu šį Lietuvos Respublikos Seimo priimtą įstatymą.</w:t>
      </w:r>
    </w:p>
    <w:p>
      <w:pPr>
        <w:widowControl w:val="0"/>
        <w:ind w:firstLine="567"/>
        <w:jc w:val="both"/>
        <w:rPr>
          <w:color w:val="000000"/>
        </w:rPr>
      </w:pPr>
    </w:p>
    <w:p>
      <w:pPr>
        <w:widowControl w:val="0"/>
        <w:ind w:firstLine="567"/>
        <w:jc w:val="both"/>
        <w:rPr>
          <w:color w:val="000000"/>
        </w:rPr>
      </w:pPr>
    </w:p>
    <w:p>
      <w:pPr>
        <w:widowControl w:val="0"/>
        <w:tabs>
          <w:tab w:val="right" w:pos="9071"/>
        </w:tabs>
        <w:rPr>
          <w:caps/>
          <w:color w:val="000000"/>
        </w:rPr>
      </w:pPr>
      <w:r>
        <w:rPr>
          <w:caps/>
          <w:color w:val="000000"/>
        </w:rPr>
        <w:t>RESPUBLIKOS PREZIDENTĖ</w:t>
        <w:tab/>
        <w:t>DALIA GRYBAUSKAITĖ</w:t>
      </w:r>
    </w:p>
    <w:p>
      <w:pPr>
        <w:widowControl w:val="0"/>
        <w:ind w:firstLine="567"/>
        <w:jc w:val="both"/>
        <w:rPr>
          <w:color w:val="000000"/>
        </w:rPr>
      </w:pPr>
    </w:p>
    <w:p>
      <w:pPr>
        <w:widowControl w:val="0"/>
        <w:jc w:val="center"/>
        <w:rPr>
          <w:color w:val="000000"/>
        </w:rPr>
      </w:pPr>
      <w:r>
        <w:rPr>
          <w:color w:val="000000"/>
        </w:rPr>
        <w:t>_________________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E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2737</Characters>
  <Application>Microsoft Office Word</Application>
  <DocSecurity>4</DocSecurity>
  <Lines>50</Lines>
  <Paragraphs>17</Paragraphs>
  <ScaleCrop>false</ScaleCrop>
  <Company/>
  <LinksUpToDate>false</LinksUpToDate>
  <CharactersWithSpaces>3103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2015-07-03T23:37:00Z</dcterms:created>
  <dc:creator>Rima</dc:creator>
  <lastModifiedBy>Adlib User</lastModifiedBy>
  <dcterms:modified xsi:type="dcterms:W3CDTF">2015-07-03T23:37:00Z</dcterms:modified>
  <revision>2</revision>
  <dc:title>LIETUVOS RESPUBLIKOS ĮMONIŲ RESTRUKTŪRIZAVIMO ĮSTATYMO 7 IR 15 STRAIPSNIŲ PAKEITIMO ĮSTATYMAS</dc:title>
</coreProperties>
</file>