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rPr>
          <w:lang w:val="en-GB"/>
        </w:rPr>
      </w:pPr>
    </w:p>
    <w:p>
      <w:pPr>
        <w:keepNext/>
        <w:jc w:val="center"/>
        <w:rPr>
          <w:caps/>
        </w:rPr>
      </w:pPr>
      <w:r>
        <w:rPr>
          <w:caps/>
          <w:lang w:eastAsia="lt-LT"/>
        </w:rPr>
        <w:pict w14:anchorId="1ADE54E2">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caps/>
        </w:rPr>
        <w:t>Lietuvos Respublikos Vyriausybė</w:t>
      </w:r>
    </w:p>
    <w:p>
      <w:pPr>
        <w:jc w:val="center"/>
        <w:rPr>
          <w:caps/>
        </w:rPr>
      </w:pPr>
    </w:p>
    <w:p>
      <w:pPr>
        <w:jc w:val="center"/>
        <w:rPr>
          <w:caps/>
          <w:spacing w:val="60"/>
        </w:rPr>
      </w:pPr>
      <w:r>
        <w:rPr>
          <w:caps/>
          <w:spacing w:val="60"/>
        </w:rPr>
        <w:t>NUTARIMAS</w:t>
      </w:r>
    </w:p>
    <w:p>
      <w:pPr>
        <w:jc w:val="center"/>
        <w:rPr>
          <w:b/>
        </w:rPr>
      </w:pPr>
      <w:r>
        <w:rPr>
          <w:b/>
        </w:rPr>
        <w:t>DĖL LIETUVOS RESPUBLIKOS VYRIAUSYBĖS 2004 M. BALANDŽIO 29 D. NUTARIMO NR. 526 „DĖL TARNYBINIŲ KOMANDIRUOČIŲ IŠLAIDŲ APMOKĖJIMO BIUDŽETINĖSE ĮSTAIGOSE TAISYKLIŲ PATVIRTINIMO“ PAKEITIMO</w:t>
      </w:r>
    </w:p>
    <w:p/>
    <w:p>
      <w:pPr>
        <w:jc w:val="center"/>
      </w:pPr>
      <w:r>
        <w:t>2012 m. gegužės 16 d. Nr. 535</w:t>
      </w:r>
    </w:p>
    <w:p>
      <w:pPr>
        <w:jc w:val="center"/>
      </w:pPr>
      <w:r>
        <w:t>Vilnius</w:t>
      </w:r>
    </w:p>
    <w:p>
      <w:pPr>
        <w:jc w:val="center"/>
      </w:pPr>
    </w:p>
    <w:p>
      <w:pPr>
        <w:ind w:firstLine="567"/>
        <w:jc w:val="both"/>
      </w:pPr>
      <w:r>
        <w:t>Lietuvos Respublikos Vyriausybė</w:t>
      </w:r>
      <w:r>
        <w:rPr>
          <w:spacing w:val="80"/>
        </w:rPr>
        <w:t xml:space="preserve"> </w:t>
      </w:r>
      <w:r>
        <w:rPr>
          <w:spacing w:val="60"/>
        </w:rPr>
        <w:t>nutari</w:t>
      </w:r>
      <w:r>
        <w:rPr>
          <w:spacing w:val="80"/>
        </w:rPr>
        <w:t>a</w:t>
      </w:r>
      <w:r>
        <w:t>:</w:t>
      </w:r>
    </w:p>
    <w:p>
      <w:pPr>
        <w:ind w:firstLine="567"/>
        <w:jc w:val="both"/>
      </w:pPr>
      <w:r>
        <w:t xml:space="preserve">Pakeisti Tarnybinių komandiruočių išlaidų apmokėjimo biudžetinėse įstaigose taisykles, patvirtintas Lietuvos Respublikos Vyriausybės 2004 m. balandžio 29 d. nutarimu Nr. 526 „Dėl Tarnybinių komandiruočių išlaidų apmokėjimo biudžetinėse įstaigose taisyklių patvirtinimo“ (Žin., 2004, Nr. </w:t>
      </w:r>
      <w:fldSimple w:instr="HYPERLINK https://www.e-tar.lt/portal/lt/legalAct/TAR.E356C85AC1C6 \t _blank">
        <w:r>
          <w:rPr>
            <w:color w:val="0000FF" w:themeColor="hyperlink"/>
            <w:u w:val="single"/>
          </w:rPr>
          <w:t>74-2555</w:t>
        </w:r>
      </w:fldSimple>
      <w:r>
        <w:t xml:space="preserve">; 2007, Nr. </w:t>
      </w:r>
      <w:fldSimple w:instr="HYPERLINK https://www.e-tar.lt/portal/lt/legalAct/TAR.ED6CD591158A \t _blank">
        <w:r>
          <w:rPr>
            <w:color w:val="0000FF" w:themeColor="hyperlink"/>
            <w:u w:val="single"/>
          </w:rPr>
          <w:t>37-1371</w:t>
        </w:r>
      </w:fldSimple>
      <w:r>
        <w:t xml:space="preserve">; 2008, Nr. </w:t>
      </w:r>
      <w:fldSimple w:instr="HYPERLINK https://www.e-tar.lt/portal/lt/legalAct/TAR.FDEA836B04C2 \t _blank">
        <w:r>
          <w:rPr>
            <w:color w:val="0000FF" w:themeColor="hyperlink"/>
            <w:u w:val="single"/>
          </w:rPr>
          <w:t>67-2534</w:t>
        </w:r>
      </w:fldSimple>
      <w:r>
        <w:t xml:space="preserve">; 2009, Nr. </w:t>
      </w:r>
      <w:fldSimple w:instr="HYPERLINK https://www.e-tar.lt/portal/lt/legalAct/TAR.B34E45930202 \t _blank">
        <w:r>
          <w:rPr>
            <w:color w:val="0000FF" w:themeColor="hyperlink"/>
            <w:u w:val="single"/>
          </w:rPr>
          <w:t>116-4939</w:t>
        </w:r>
      </w:fldSimple>
      <w:r>
        <w:t>):</w:t>
      </w:r>
    </w:p>
    <w:p>
      <w:pPr>
        <w:ind w:firstLine="567"/>
        <w:jc w:val="both"/>
      </w:pPr>
      <w:r>
        <w:t>1</w:t>
      </w:r>
      <w:r>
        <w:t>. Išdėstyti 2.1 punktą taip:</w:t>
      </w:r>
    </w:p>
    <w:p>
      <w:pPr>
        <w:ind w:firstLine="567"/>
        <w:jc w:val="both"/>
      </w:pPr>
      <w:r>
        <w:t>„</w:t>
      </w:r>
      <w:r>
        <w:t>2.1</w:t>
      </w:r>
      <w:r>
        <w:t>. valstybės politiko arba valstybės pareigūno, arba teisėjo, arba valstybės tarnautojo, arba darbuotojo, dirbančio pagal darbo sutartį (toliau vadinama – darbuotojas), išvykimas tam tikram laikui iš nuolatinės darbo vietos įstaigos vadovo arba jo įgalioto asmens siuntimu atlikti darbo funkcijų, vykdyti</w:t>
      </w:r>
      <w:r>
        <w:rPr>
          <w:b/>
        </w:rPr>
        <w:t xml:space="preserve"> </w:t>
      </w:r>
      <w:r>
        <w:t>tarnybinio pavedimo ar kelti kvalifikacijos;“.</w:t>
      </w:r>
    </w:p>
    <w:p>
      <w:pPr>
        <w:ind w:firstLine="567"/>
        <w:jc w:val="both"/>
      </w:pPr>
      <w:r>
        <w:t>2</w:t>
      </w:r>
      <w:r>
        <w:t>. Išdėstyti 2.3 punktą taip:</w:t>
      </w:r>
    </w:p>
    <w:p>
      <w:pPr>
        <w:ind w:firstLine="567"/>
        <w:jc w:val="both"/>
      </w:pPr>
      <w:r>
        <w:t>„</w:t>
      </w:r>
      <w:r>
        <w:t>2.3</w:t>
      </w:r>
      <w:r>
        <w:t>.</w:t>
      </w:r>
      <w:r>
        <w:rPr>
          <w:color w:val="000000"/>
        </w:rPr>
        <w:t xml:space="preserve"> darbuotojo dalyvavimas įgyvendinant Europos Sąjungos ir (arba) </w:t>
      </w:r>
      <w:r>
        <w:rPr>
          <w:bCs/>
          <w:color w:val="000000"/>
        </w:rPr>
        <w:t>kitos tarptautinės finansinės paramos</w:t>
      </w:r>
      <w:r>
        <w:rPr>
          <w:b/>
          <w:bCs/>
          <w:color w:val="000000"/>
        </w:rPr>
        <w:t xml:space="preserve"> </w:t>
      </w:r>
      <w:r>
        <w:rPr>
          <w:color w:val="000000"/>
        </w:rPr>
        <w:t xml:space="preserve">finansuojamus projektus, kai jo komandiruotės išlaidos apmokamos iš Europos Sąjungos ir (arba) </w:t>
      </w:r>
      <w:r>
        <w:rPr>
          <w:bCs/>
          <w:color w:val="000000"/>
        </w:rPr>
        <w:t>kitos tarptautinės finansinės paramos</w:t>
      </w:r>
      <w:r>
        <w:rPr>
          <w:color w:val="000000"/>
        </w:rPr>
        <w:t xml:space="preserve"> finansuojamų projektų lėšų </w:t>
      </w:r>
      <w:r>
        <w:rPr>
          <w:bCs/>
          <w:color w:val="000000"/>
        </w:rPr>
        <w:t>(išskyrus finansuojamus iš Europos Sąjungos ir (arba) kitos tarptautinės finansinės paramos programų, kurių lėšos planuojamos Lietuvos Respublikos valstybės biudžete)</w:t>
      </w:r>
      <w:r>
        <w:rPr>
          <w:b/>
          <w:bCs/>
          <w:color w:val="000000"/>
        </w:rPr>
        <w:t xml:space="preserve"> </w:t>
      </w:r>
      <w:r>
        <w:rPr>
          <w:color w:val="000000"/>
        </w:rPr>
        <w:t>pagal minėtų projektų sutartyse numatytas sąlygas. Šiuo atveju netaikomos šių Taisyklių II skyriuje nustatytos tarnybinių komandiruočių į užsienio valstybes išlaidų apmokėjimo sąlygos.</w:t>
      </w:r>
      <w:r>
        <w:t>“</w:t>
      </w:r>
    </w:p>
    <w:p>
      <w:pPr>
        <w:ind w:firstLine="567"/>
        <w:jc w:val="both"/>
      </w:pPr>
      <w:r>
        <w:t>3</w:t>
      </w:r>
      <w:r>
        <w:t>. Išdėstyti 4 punktą taip:</w:t>
      </w:r>
    </w:p>
    <w:p>
      <w:pPr>
        <w:ind w:firstLine="567"/>
        <w:jc w:val="both"/>
      </w:pPr>
      <w:r>
        <w:t>„</w:t>
      </w:r>
      <w:r>
        <w:t>4</w:t>
      </w:r>
      <w:r>
        <w:t xml:space="preserve">. Įstaigų vadovai arba jų įgalioti asmenys gali siųsti savo darbuotojus į komandiruotę į užsienio valstybę ne ilgiau kaip 30 kalendorinių dienų (neįskaitant kelionės laiko). Jeigu yra atskiras Lietuvos Respublikos Vyriausybės sprendimas dėl atstovavimo Lietuvos Respublikai tarptautiniuose renginiuose arba darbuotojas siunčiamas dalyvauti įgyvendinant Europos Sąjungos ir (arba) </w:t>
      </w:r>
      <w:r>
        <w:rPr>
          <w:bCs/>
          <w:color w:val="000000"/>
        </w:rPr>
        <w:t>kitos tarptautinės finansinės paramos</w:t>
      </w:r>
      <w:r>
        <w:rPr>
          <w:b/>
          <w:bCs/>
          <w:color w:val="000000"/>
        </w:rPr>
        <w:t xml:space="preserve"> </w:t>
      </w:r>
      <w:r>
        <w:t xml:space="preserve">finansuojamus projektus, kai jo komandiruotės išlaidos apmokamos iš Europos Sąjungos ir (arba) </w:t>
      </w:r>
      <w:r>
        <w:rPr>
          <w:bCs/>
          <w:color w:val="000000"/>
        </w:rPr>
        <w:t>kitos tarptautinės finansinės paramos</w:t>
      </w:r>
      <w:r>
        <w:t xml:space="preserve"> finansuojamų projektų lėšų </w:t>
      </w:r>
      <w:r>
        <w:rPr>
          <w:bCs/>
          <w:color w:val="000000"/>
        </w:rPr>
        <w:t>(išskyrus finansuojamus iš Europos Sąjungos ir (arba) kitos</w:t>
      </w:r>
      <w:r>
        <w:rPr>
          <w:b/>
          <w:bCs/>
          <w:color w:val="000000"/>
        </w:rPr>
        <w:t xml:space="preserve"> </w:t>
      </w:r>
      <w:r>
        <w:rPr>
          <w:bCs/>
          <w:color w:val="000000"/>
        </w:rPr>
        <w:t>tarptautinės finansinės paramos programų, kurių lėšos planuojamos Lietuvos Respublikos valstybės biudžete)</w:t>
      </w:r>
      <w:r>
        <w:t xml:space="preserve"> pagal minėtų projektų sutartyse numatytas sąlygas, siunčiamo į užsienį darbuotojo komandiruotės trukmė gali būti ilgesnė kaip 30 kalendorinių dienų.“</w:t>
      </w:r>
    </w:p>
    <w:p>
      <w:pPr>
        <w:ind w:firstLine="567"/>
        <w:jc w:val="both"/>
      </w:pPr>
      <w:r>
        <w:t>4</w:t>
      </w:r>
      <w:r>
        <w:t>. Išdėstyti 7.3 punktą taip:</w:t>
      </w:r>
    </w:p>
    <w:p>
      <w:pPr>
        <w:ind w:firstLine="567"/>
        <w:jc w:val="both"/>
      </w:pPr>
      <w:r>
        <w:t>„</w:t>
      </w:r>
      <w:r>
        <w:t>7.3</w:t>
      </w:r>
      <w:r>
        <w:t>. transporto išlaidos, susijusios su komandiruotės tikslais:</w:t>
      </w:r>
    </w:p>
    <w:p>
      <w:pPr>
        <w:ind w:firstLine="567"/>
        <w:jc w:val="both"/>
      </w:pPr>
      <w:r>
        <w:t>7.3.1</w:t>
      </w:r>
      <w:r>
        <w:t>. kelionės į užsienio valstybę (valstybes) ir iš jos (jų) komandiruotės dienomis,</w:t>
      </w:r>
      <w:r>
        <w:rPr>
          <w:b/>
        </w:rPr>
        <w:t xml:space="preserve"> </w:t>
      </w:r>
      <w:r>
        <w:t>taip pat dienomis, kai kelionė dėl objektyvių priežasčių negalėjo pasibaigti komandiruotės dienomis, įskaitant tuos atvejus, kai iš komandiruotės grįžtama po vidurnakčio, visų rūšių transporto priemonėmis, išskyrus lengvuosius automobilius taksi;</w:t>
      </w:r>
    </w:p>
    <w:p>
      <w:pPr>
        <w:ind w:firstLine="567"/>
        <w:jc w:val="both"/>
      </w:pPr>
      <w:r>
        <w:t>7.3.2</w:t>
      </w:r>
      <w:r>
        <w:t xml:space="preserve">. užsienio valstybės teritorijoje visų rūšių transporto priemonėmis; </w:t>
      </w:r>
    </w:p>
    <w:p>
      <w:pPr>
        <w:ind w:firstLine="567"/>
        <w:jc w:val="both"/>
      </w:pPr>
      <w:r>
        <w:t>7.3.3</w:t>
      </w:r>
      <w:r>
        <w:t>. nuvykimo visų rūšių transporto priemonėmis Lietuvos Respublikos teritorijoje į oro ar jūrų uostą, geležinkelio ar autobusų stotį ir parvykimo iš jų komandiruotės dienomis, taip pat dienomis, kai kelionė dėl objektyvių priežasčių negalėjo pasibaigti komandiruotės dienomis (lengvuoju automobiliu taksi – tik kiek tai susiję su nuvykimu (išvykimu) į oro ar jūrų uostą, geležinkelio ar autobusų stotį miesto, kuriame jie yra, teritorijoje ir parvykimu iš jų),</w:t>
      </w:r>
      <w:r>
        <w:rPr>
          <w:b/>
        </w:rPr>
        <w:t xml:space="preserve"> </w:t>
      </w:r>
      <w:r>
        <w:t xml:space="preserve">įskaitant tuos atvejus, kai iš komandiruotės grįžtama po vidurnakčio;“. </w:t>
      </w:r>
    </w:p>
    <w:p>
      <w:pPr>
        <w:ind w:firstLine="567"/>
        <w:jc w:val="both"/>
      </w:pPr>
      <w:r>
        <w:t>5</w:t>
      </w:r>
      <w:r>
        <w:t>. Išdėstyti 7.11 punktą taip:</w:t>
      </w:r>
    </w:p>
    <w:p>
      <w:pPr>
        <w:ind w:firstLine="567"/>
        <w:jc w:val="both"/>
      </w:pPr>
      <w:r>
        <w:t>„</w:t>
      </w:r>
      <w:r>
        <w:t>7.11</w:t>
      </w:r>
      <w:r>
        <w:t>. kitos su komandiruote susijusios būtinos išlaidos (miesto (ekologinis) mokestis, registruoto bagažo mokestis, bagažo saugojimo, būtinų skiepų ir vaistų nuo užkrečiamųjų ligų išlaidos).“</w:t>
      </w:r>
    </w:p>
    <w:p>
      <w:pPr>
        <w:ind w:firstLine="567"/>
        <w:jc w:val="both"/>
      </w:pPr>
      <w:r>
        <w:t>6</w:t>
      </w:r>
      <w:r>
        <w:t>. Papildyti 17.7 punktu:</w:t>
      </w:r>
    </w:p>
    <w:p>
      <w:pPr>
        <w:ind w:firstLine="567"/>
        <w:jc w:val="both"/>
      </w:pPr>
      <w:r>
        <w:t>„</w:t>
      </w:r>
      <w:r>
        <w:t>17.7</w:t>
      </w:r>
      <w:r>
        <w:t>. vietinės rinkliavos išlaidos.“</w:t>
      </w:r>
    </w:p>
    <w:p>
      <w:pPr>
        <w:ind w:firstLine="567"/>
        <w:jc w:val="both"/>
      </w:pPr>
      <w:r>
        <w:t>7</w:t>
      </w:r>
      <w:r>
        <w:t>. Išdėstyti 18 punktą taip:</w:t>
      </w:r>
    </w:p>
    <w:p>
      <w:pPr>
        <w:ind w:firstLine="567"/>
        <w:jc w:val="both"/>
      </w:pPr>
      <w:r>
        <w:t>„</w:t>
      </w:r>
      <w:r>
        <w:t>18</w:t>
      </w:r>
      <w:r>
        <w:t>. Visos šių Taisyklių 17.2–17.7 punktuose</w:t>
      </w:r>
      <w:r>
        <w:rPr>
          <w:b/>
        </w:rPr>
        <w:t xml:space="preserve"> </w:t>
      </w:r>
      <w:r>
        <w:t>nurodytos komandiruotės išlaidos atlyginamos tik tais atvejais, kai pateikiami jas įrodantys dokumentai.“</w:t>
      </w:r>
    </w:p>
    <w:p>
      <w:pPr>
        <w:tabs>
          <w:tab w:val="right" w:pos="9071"/>
        </w:tabs>
      </w:pPr>
    </w:p>
    <w:p>
      <w:pPr>
        <w:tabs>
          <w:tab w:val="right" w:pos="9071"/>
        </w:tabs>
      </w:pPr>
    </w:p>
    <w:p>
      <w:pPr>
        <w:tabs>
          <w:tab w:val="right" w:pos="9071"/>
        </w:tabs>
      </w:pPr>
    </w:p>
    <w:p>
      <w:pPr>
        <w:tabs>
          <w:tab w:val="right" w:pos="9071"/>
        </w:tabs>
      </w:pPr>
      <w:r>
        <w:t>MINISTRAS PIRMININKAS</w:t>
        <w:tab/>
        <w:t>ANDRIUS KUBILIUS</w:t>
      </w:r>
    </w:p>
    <w:p/>
    <w:p/>
    <w:p/>
    <w:p>
      <w:pPr>
        <w:tabs>
          <w:tab w:val="right" w:pos="9071"/>
        </w:tabs>
      </w:pPr>
      <w:r>
        <w:t>FINANSŲ MINISTRĖ</w:t>
        <w:tab/>
        <w:t>INGRIDA ŠIMONYTĖ</w:t>
      </w:r>
    </w:p>
    <w:sectPr>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pPr>
      <w:tabs>
        <w:tab w:val="center" w:pos="4153"/>
        <w:tab w:val="right" w:pos="8306"/>
      </w:tabs>
      <w:ind w:right="360"/>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microsoft.com/office/2007/relationships/stylesWithEffects" Target="stylesWithEffects.xml"/>
  <Relationship Id="rId20"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3989</Characters>
  <Application>Microsoft Office Word</Application>
  <DocSecurity>4</DocSecurity>
  <Lines>79</Lines>
  <Paragraphs>32</Paragraphs>
  <ScaleCrop>false</ScaleCrop>
  <Company>LRVK</Company>
  <LinksUpToDate>false</LinksUpToDate>
  <CharactersWithSpaces>4522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2015-09-13T17:15:00Z</dcterms:created>
  <dc:creator>lrvk</dc:creator>
  <lastModifiedBy>Adlib User</lastModifiedBy>
  <lastPrinted>2012-05-14T09:55:00Z</lastPrinted>
  <dcterms:modified xsi:type="dcterms:W3CDTF">2015-09-13T17:15:00Z</dcterms:modified>
  <revision>2</revision>
  <dc:title>DĖL LIETUVOS RESPUBLIKOS VYRIAUSYBĖS 2004 M</dc:title>
</coreProperties>
</file>