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caps/>
        </w:rPr>
      </w:pPr>
      <w:r>
        <w:rPr>
          <w:caps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DĖL LIETUVOS RESPUBLIKOS VYRIAUSYBĖS 2000 M. GRUODŽIO 15 D. NUTARIMO </w:t>
      </w:r>
      <w:r>
        <w:rPr>
          <w:b/>
          <w:iCs/>
          <w:color w:val="000000"/>
        </w:rPr>
        <w:t>NR. 1458</w:t>
      </w:r>
      <w:r>
        <w:rPr>
          <w:b/>
        </w:rPr>
        <w:t xml:space="preserve"> „DĖL KONKREČIŲ VALSTYBĖS RINKLIAVOS DYDŽIŲ IR ŠIOS RINKLIAVOS MOKĖJIMO IR GRĄŽINIMO TAISYKLIŲ PATVIRTINIMO“ PAKEITIMO</w:t>
      </w:r>
    </w:p>
    <w:p/>
    <w:p>
      <w:pPr>
        <w:jc w:val="center"/>
      </w:pPr>
      <w:r>
        <w:t>2012 m. gegužės 9 d. Nr. 488</w:t>
      </w:r>
    </w:p>
    <w:p>
      <w:pPr>
        <w:jc w:val="center"/>
      </w:pPr>
      <w:r>
        <w:t>Vilnius</w:t>
      </w:r>
    </w:p>
    <w:p>
      <w:pPr>
        <w:ind w:firstLine="567"/>
        <w:jc w:val="both"/>
      </w:pPr>
    </w:p>
    <w:p>
      <w:pPr>
        <w:ind w:firstLine="567"/>
        <w:jc w:val="both"/>
      </w:pPr>
      <w:r>
        <w:t>Lietuvos Respublikos Vyriausybė n u t a r i a:</w:t>
      </w:r>
    </w:p>
    <w:p>
      <w:pPr>
        <w:ind w:firstLine="567"/>
        <w:jc w:val="both"/>
      </w:pPr>
      <w:r>
        <w:t xml:space="preserve">Pakeisti konkrečius valstybės rinkliavos dydžius, patvirtintus Lietuvos Respublikos Vyriausybės 2000 m. gruodžio 15 d. nutarimu </w:t>
      </w:r>
      <w:r>
        <w:rPr>
          <w:iCs/>
          <w:color w:val="000000"/>
        </w:rPr>
        <w:t>Nr. 1458</w:t>
      </w:r>
      <w:r>
        <w:t xml:space="preserve"> „Dėl konkrečių valstybės rinkliavos dydžių ir šios rinkliavos mokėjimo ir grąžinimo taisyklių patvirtinimo“ (Žin., 2000, Nr. </w:t>
      </w:r>
      <w:fldSimple w:instr="HYPERLINK https://www.e-tar.lt/portal/lt/legalAct/TAR.E3A145C8DD49 \t _blank">
        <w:r>
          <w:rPr>
            <w:iCs/>
            <w:color w:val="0000FF" w:themeColor="hyperlink"/>
            <w:u w:val="single"/>
          </w:rPr>
          <w:t>108-3463</w:t>
        </w:r>
      </w:fldSimple>
      <w:r>
        <w:t xml:space="preserve">; 2006, Nr. </w:t>
      </w:r>
      <w:fldSimple w:instr="HYPERLINK https://www.e-tar.lt/portal/lt/legalAct/TAR.5B92C9FF00FE \t _blank">
        <w:r>
          <w:rPr>
            <w:u w:val="single"/>
            <w:color w:val="0000FF" w:themeColor="hyperlink"/>
          </w:rPr>
          <w:t>132-4998</w:t>
        </w:r>
      </w:fldSimple>
      <w:r>
        <w:t xml:space="preserve">; 2008, Nr. </w:t>
      </w:r>
      <w:fldSimple w:instr="HYPERLINK https://www.e-tar.lt/portal/lt/legalAct/TAR.8C1A6BF2C46F \t _blank">
        <w:r>
          <w:rPr>
            <w:u w:val="single"/>
            <w:color w:val="0000FF" w:themeColor="hyperlink"/>
          </w:rPr>
          <w:t>36-1285</w:t>
        </w:r>
      </w:fldSimple>
      <w:r>
        <w:t xml:space="preserve">, Nr. </w:t>
      </w:r>
      <w:fldSimple w:instr="HYPERLINK https://www.e-tar.lt/portal/lt/legalAct/TAR.AA325CD1D2C8 \t _blank">
        <w:r>
          <w:rPr>
            <w:u w:val="single"/>
            <w:color w:val="0000FF" w:themeColor="hyperlink"/>
          </w:rPr>
          <w:t>73-2835</w:t>
        </w:r>
      </w:fldSimple>
      <w:r>
        <w:t xml:space="preserve">; 2009, Nr. </w:t>
      </w:r>
      <w:fldSimple w:instr="HYPERLINK https://www.e-tar.lt/portal/lt/legalAct/TAR.DE7D403CC311 \t _blank">
        <w:r>
          <w:rPr>
            <w:u w:val="single"/>
            <w:color w:val="0000FF" w:themeColor="hyperlink"/>
          </w:rPr>
          <w:t>109-4629</w:t>
        </w:r>
      </w:fldSimple>
      <w:r>
        <w:t>; 2010, Nr. </w:t>
      </w:r>
      <w:fldSimple w:instr="HYPERLINK https://www.e-tar.lt/portal/lt/legalAct/TAR.17649DBCFF2D \t _blank">
        <w:r>
          <w:rPr>
            <w:iCs/>
            <w:color w:val="0000FF" w:themeColor="hyperlink"/>
            <w:u w:val="single"/>
          </w:rPr>
          <w:t>65-3234</w:t>
        </w:r>
      </w:fldSimple>
      <w:r>
        <w:t>; 2011, Nr. </w:t>
      </w:r>
      <w:fldSimple w:instr="HYPERLINK https://www.e-tar.lt/portal/lt/legalAct/TAR.8A3E9D1F7F59 \t _blank">
        <w:r>
          <w:rPr>
            <w:u w:val="single"/>
            <w:color w:val="0000FF" w:themeColor="hyperlink"/>
          </w:rPr>
          <w:t>82-4012</w:t>
        </w:r>
      </w:fldSimple>
      <w:r>
        <w:t>):</w:t>
      </w:r>
    </w:p>
    <w:p>
      <w:pPr>
        <w:ind w:firstLine="567"/>
        <w:jc w:val="both"/>
      </w:pPr>
      <w:r>
        <w:t>1</w:t>
      </w:r>
      <w:r>
        <w:t>. Išdėstyti 4.25</w:t>
      </w:r>
      <w:r>
        <w:rPr>
          <w:vertAlign w:val="superscript"/>
        </w:rPr>
        <w:t>16</w:t>
      </w:r>
      <w:r>
        <w:t xml:space="preserve"> punkto pirmąją pastraipą taip:</w:t>
      </w:r>
    </w:p>
    <w:p>
      <w:pPr>
        <w:ind w:firstLine="567"/>
        <w:jc w:val="both"/>
        <w:rPr>
          <w:b/>
        </w:rPr>
      </w:pPr>
      <w:r>
        <w:t>„</w:t>
      </w:r>
      <w:r>
        <w:t>4.25</w:t>
      </w:r>
      <w:r>
        <w:rPr>
          <w:vertAlign w:val="superscript"/>
        </w:rPr>
        <w:t>16</w:t>
      </w:r>
      <w:r>
        <w:t>. paraiškos patvirtinti vaistinio preparato rinkodaros pažymėjimo sąlygų keitimą, kartu pateiktų dokumentų ir informacijos ekspertizę, kai pateikiama paraiška dėl 2008 m. lapkričio 24 d. Europos Komisijos reglamento (EB) Nr. 1234/2008 dėl Žmonėms skirtų vaistų ir veterinarinių vaistų rinkodaros pažymėjimų sąlygų keitimų nagrinėjimo (OL 2008 L 334, p. 7) (toliau – Reglamentas (EB) Nr. 1234/2008) 2 straipsnio 2 punkte nurodyto neesminio IA tipo vaistinio preparato rinkodaros pažymėjimo sąlygų keitimo:“.</w:t>
      </w:r>
    </w:p>
    <w:p>
      <w:pPr>
        <w:ind w:firstLine="567"/>
        <w:jc w:val="both"/>
      </w:pPr>
      <w:r>
        <w:t>2</w:t>
      </w:r>
      <w:r>
        <w:t>. Išdėstyti 4.25</w:t>
      </w:r>
      <w:r>
        <w:rPr>
          <w:vertAlign w:val="superscript"/>
        </w:rPr>
        <w:t>17</w:t>
      </w:r>
      <w:r>
        <w:t xml:space="preserve"> punkto pirmąją pastraipą taip:</w:t>
      </w:r>
    </w:p>
    <w:p>
      <w:pPr>
        <w:ind w:firstLine="567"/>
        <w:jc w:val="both"/>
        <w:rPr>
          <w:b/>
        </w:rPr>
      </w:pPr>
      <w:r>
        <w:t>„</w:t>
      </w:r>
      <w:r>
        <w:t>4.25</w:t>
      </w:r>
      <w:r>
        <w:rPr>
          <w:vertAlign w:val="superscript"/>
        </w:rPr>
        <w:t>17</w:t>
      </w:r>
      <w:r>
        <w:t>. paraiškos patvirtinti vaistinio preparato rinkodaros pažymėjimo sąlygų keitimą, kartu pateiktų dokumentų ir informacijos ekspertizę, kai pateikiama paraiška dėl Reglamento (EB) Nr. 1234/2008 2 straipsnio 5 punkte nurodyto neesminio IB tipo vaistinio preparato rinkodaros pažymėjimo sąlygų keitimo:“.</w:t>
      </w:r>
    </w:p>
    <w:p>
      <w:pPr>
        <w:ind w:firstLine="567"/>
        <w:jc w:val="both"/>
      </w:pPr>
      <w:r>
        <w:t>3</w:t>
      </w:r>
      <w:r>
        <w:t>. Išdėstyti 4.25</w:t>
      </w:r>
      <w:r>
        <w:rPr>
          <w:vertAlign w:val="superscript"/>
        </w:rPr>
        <w:t>18</w:t>
      </w:r>
      <w:r>
        <w:t xml:space="preserve"> punkto pirmąją pastraipą taip:</w:t>
      </w:r>
    </w:p>
    <w:p>
      <w:pPr>
        <w:ind w:firstLine="567"/>
        <w:jc w:val="both"/>
        <w:rPr>
          <w:b/>
        </w:rPr>
      </w:pPr>
      <w:r>
        <w:t>„</w:t>
      </w:r>
      <w:r>
        <w:t>4.25</w:t>
      </w:r>
      <w:r>
        <w:rPr>
          <w:vertAlign w:val="superscript"/>
        </w:rPr>
        <w:t>18</w:t>
      </w:r>
      <w:r>
        <w:t>. paraiškos patvirtinti vaistinio preparato rinkodaros pažymėjimo sąlygų keitimą, kartu pateiktų dokumentų ir informacijos ekspertizę, kai pateikiama paraiška dėl Reglamento (EB) Nr. 1234/2008 2 straipsnio 3 punkte nurodyto esminio II tipo vaistinio preparato rinkodaros pažymėjimo sąlygų keitimo (išskyrus naujas terapines indikacijas):“.</w:t>
      </w:r>
    </w:p>
    <w:p>
      <w:pPr>
        <w:ind w:firstLine="567"/>
        <w:jc w:val="both"/>
      </w:pPr>
      <w:r>
        <w:t>4</w:t>
      </w:r>
      <w:r>
        <w:t>. Išdėstyti 4.25</w:t>
      </w:r>
      <w:r>
        <w:rPr>
          <w:vertAlign w:val="superscript"/>
        </w:rPr>
        <w:t>19</w:t>
      </w:r>
      <w:r>
        <w:t xml:space="preserve"> punkto pirmąją pastraipą taip:</w:t>
      </w:r>
    </w:p>
    <w:p>
      <w:pPr>
        <w:ind w:firstLine="567"/>
        <w:jc w:val="both"/>
        <w:rPr>
          <w:b/>
        </w:rPr>
      </w:pPr>
      <w:r>
        <w:t>„</w:t>
      </w:r>
      <w:r>
        <w:t>4.25</w:t>
      </w:r>
      <w:r>
        <w:rPr>
          <w:vertAlign w:val="superscript"/>
        </w:rPr>
        <w:t>19</w:t>
      </w:r>
      <w:r>
        <w:t>. paraiškos patvirtinti vaistinio preparato rinkodaros pažymėjimo sąlygų keitimą, kartu pateiktų dokumentų ir informacijos ekspertizę, kai pateikiama paraiška dėl Reglamento (EB) Nr. 1234/2008 2 straipsnio 3 punkte nurodyto esminio II tipo vaistinio preparato rinkodaros pažymėjimo sąlygų keitimo (tik dėl naujų terapinių indikacijų):“.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>
      <w:pPr>
        <w:tabs>
          <w:tab w:val="right" w:pos="9071"/>
        </w:tabs>
      </w:pPr>
      <w:r>
        <w:t>FINANSŲ MINISTRĖ</w:t>
        <w:tab/>
        <w:t>INGRIDA ŠIMONYTĖ</w:t>
      </w:r>
    </w:p>
    <w:p/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2200</Characters>
  <Application>Microsoft Office Word</Application>
  <DocSecurity>4</DocSecurity>
  <Lines>46</Lines>
  <Paragraphs>20</Paragraphs>
  <ScaleCrop>false</ScaleCrop>
  <Company>LRVK</Company>
  <LinksUpToDate>false</LinksUpToDate>
  <CharactersWithSpaces>2504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2015-10-14T04:22:00Z</dcterms:created>
  <dc:creator>lrvk</dc:creator>
  <lastModifiedBy>Adlib User</lastModifiedBy>
  <lastPrinted>2012-05-08T07:06:00Z</lastPrinted>
  <dcterms:modified xsi:type="dcterms:W3CDTF">2015-10-14T04:22:00Z</dcterms:modified>
  <revision>2</revision>
  <dc:title>DĖL LIETUVOS RESPUBLIKOS VYRIAUSYBĖS 2000 M</dc:title>
</coreProperties>
</file>