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F34A13" w14:textId="77777777" w:rsidR="006C2C20" w:rsidRDefault="006C2C20">
      <w:pPr>
        <w:tabs>
          <w:tab w:val="center" w:pos="4153"/>
          <w:tab w:val="right" w:pos="8306"/>
        </w:tabs>
        <w:rPr>
          <w:lang w:val="en-GB"/>
        </w:rPr>
      </w:pPr>
    </w:p>
    <w:p w14:paraId="34F34A14" w14:textId="77777777" w:rsidR="006C2C20" w:rsidRDefault="005F09C2">
      <w:pPr>
        <w:keepNext/>
        <w:jc w:val="center"/>
        <w:rPr>
          <w:caps/>
        </w:rPr>
      </w:pPr>
      <w:r>
        <w:rPr>
          <w:caps/>
          <w:lang w:eastAsia="lt-LT"/>
        </w:rPr>
        <w:pict w14:anchorId="34F34A39">
          <v:shapetype id="_x0000_t201" coordsize="21600,21600" o:spt="201" path="m,l,21600r21600,l21600,xe">
            <v:stroke joinstyle="miter"/>
            <v:path shadowok="f" o:extrusionok="f" strokeok="f" fillok="f" o:connecttype="rect"/>
            <o:lock v:ext="edit" shapetype="t"/>
          </v:shapetype>
          <v:shape id="_x0000_s1029" type="#_x0000_t201" style="position:absolute;left:0;text-align:left;margin-left:-85.05pt;margin-top:-56.7pt;width:.75pt;height:.75pt;z-index:251657728;visibility:hidden;mso-position-horizontal-relative:text;mso-position-vertical-relative:text" stroked="f">
            <v:imagedata r:id="rId8" o:title=""/>
          </v:shape>
          <w:control r:id="rId9" w:name="Control 5" w:shapeid="_x0000_s1029"/>
        </w:pict>
      </w:r>
      <w:r>
        <w:rPr>
          <w:caps/>
        </w:rPr>
        <w:t>Lietuvos Respublikos Vyriausybė</w:t>
      </w:r>
    </w:p>
    <w:p w14:paraId="34F34A15" w14:textId="77777777" w:rsidR="006C2C20" w:rsidRDefault="005F09C2">
      <w:pPr>
        <w:jc w:val="center"/>
        <w:rPr>
          <w:caps/>
          <w:spacing w:val="60"/>
        </w:rPr>
      </w:pPr>
      <w:r>
        <w:rPr>
          <w:caps/>
          <w:spacing w:val="60"/>
        </w:rPr>
        <w:t>NUTARIMAS</w:t>
      </w:r>
    </w:p>
    <w:p w14:paraId="34F34A16" w14:textId="77777777" w:rsidR="006C2C20" w:rsidRDefault="006C2C20">
      <w:pPr>
        <w:jc w:val="center"/>
        <w:rPr>
          <w:b/>
        </w:rPr>
      </w:pPr>
    </w:p>
    <w:p w14:paraId="34F34A17" w14:textId="77777777" w:rsidR="006C2C20" w:rsidRDefault="005F09C2">
      <w:pPr>
        <w:jc w:val="center"/>
        <w:rPr>
          <w:b/>
        </w:rPr>
      </w:pPr>
      <w:r>
        <w:rPr>
          <w:b/>
        </w:rPr>
        <w:t>DĖL LIETUVOS RESPUBLIKOS VYRIAUSYBĖS 2000 M. GRUODŽIO 15 D. NUTARIMO NR. 1458 „DĖL KONKREČIŲ VALSTYBĖS RINKLIAVOS DYDŽIŲ IR ŠIOS RINKLIAVOS MOKĖJIMO IR GRĄŽINIMO TAISYKLIŲ PATVIR</w:t>
      </w:r>
      <w:r>
        <w:rPr>
          <w:b/>
        </w:rPr>
        <w:t>TINIMO“ PAKEITIMO</w:t>
      </w:r>
    </w:p>
    <w:p w14:paraId="34F34A18" w14:textId="77777777" w:rsidR="006C2C20" w:rsidRDefault="006C2C20"/>
    <w:p w14:paraId="34F34A19" w14:textId="77777777" w:rsidR="006C2C20" w:rsidRDefault="005F09C2">
      <w:pPr>
        <w:jc w:val="center"/>
      </w:pPr>
      <w:r>
        <w:t>2012 m. balandžio 25 d. Nr. 470</w:t>
      </w:r>
    </w:p>
    <w:p w14:paraId="34F34A1A" w14:textId="77777777" w:rsidR="006C2C20" w:rsidRDefault="005F09C2">
      <w:pPr>
        <w:jc w:val="center"/>
      </w:pPr>
      <w:r>
        <w:t>Vilnius</w:t>
      </w:r>
    </w:p>
    <w:p w14:paraId="34F34A1B" w14:textId="77777777" w:rsidR="006C2C20" w:rsidRDefault="006C2C20">
      <w:pPr>
        <w:jc w:val="center"/>
      </w:pPr>
    </w:p>
    <w:p w14:paraId="34F34A1C" w14:textId="77777777" w:rsidR="006C2C20" w:rsidRDefault="005F09C2">
      <w:pPr>
        <w:ind w:firstLine="567"/>
        <w:jc w:val="both"/>
      </w:pPr>
      <w:r>
        <w:t>Lietuvos Respublikos Vyriausybė</w:t>
      </w:r>
      <w:r>
        <w:rPr>
          <w:spacing w:val="80"/>
        </w:rPr>
        <w:t xml:space="preserve"> </w:t>
      </w:r>
      <w:r>
        <w:t>n u t a r i a:</w:t>
      </w:r>
    </w:p>
    <w:p w14:paraId="34F34A1D" w14:textId="77777777" w:rsidR="006C2C20" w:rsidRDefault="005F09C2">
      <w:pPr>
        <w:ind w:firstLine="567"/>
        <w:jc w:val="both"/>
      </w:pPr>
      <w:r>
        <w:t>1</w:t>
      </w:r>
      <w:r>
        <w:t xml:space="preserve">. Pakeisti konkrečius valstybės rinkliavos dydžius, patvirtintus Lietuvos Respublikos Vyriausybės 2000 m. gruodžio 15 d. nutarimu Nr. 1458 „Dėl </w:t>
      </w:r>
      <w:r>
        <w:t xml:space="preserve">konkrečių valstybės rinkliavos dydžių ir šios rinkliavos mokėjimo ir grąžinimo taisyklių patvirtinimo“ (Žin., 2000, Nr. </w:t>
      </w:r>
      <w:hyperlink r:id="rId10" w:tgtFrame="_blank" w:history="1">
        <w:r>
          <w:rPr>
            <w:color w:val="0000FF" w:themeColor="hyperlink"/>
            <w:u w:val="single"/>
          </w:rPr>
          <w:t>108-3463</w:t>
        </w:r>
      </w:hyperlink>
      <w:r>
        <w:t xml:space="preserve">; 2005, Nr. </w:t>
      </w:r>
      <w:hyperlink r:id="rId11" w:tgtFrame="_blank" w:history="1">
        <w:r>
          <w:rPr>
            <w:color w:val="0000FF" w:themeColor="hyperlink"/>
            <w:u w:val="single"/>
          </w:rPr>
          <w:t>81-2958</w:t>
        </w:r>
      </w:hyperlink>
      <w:r>
        <w:t xml:space="preserve">; 2008, Nr. </w:t>
      </w:r>
      <w:hyperlink r:id="rId12" w:tgtFrame="_blank" w:history="1">
        <w:r>
          <w:rPr>
            <w:color w:val="0000FF" w:themeColor="hyperlink"/>
            <w:u w:val="single"/>
          </w:rPr>
          <w:t>85-3383</w:t>
        </w:r>
      </w:hyperlink>
      <w:r>
        <w:t xml:space="preserve">; 2009, Nr. </w:t>
      </w:r>
      <w:hyperlink r:id="rId13" w:tgtFrame="_blank" w:history="1">
        <w:r>
          <w:rPr>
            <w:color w:val="0000FF" w:themeColor="hyperlink"/>
            <w:u w:val="single"/>
          </w:rPr>
          <w:t>34-1302</w:t>
        </w:r>
      </w:hyperlink>
      <w:r>
        <w:t>; 2010, Nr.</w:t>
      </w:r>
      <w:r>
        <w:t xml:space="preserve"> </w:t>
      </w:r>
      <w:hyperlink r:id="rId14" w:tgtFrame="_blank" w:history="1">
        <w:r>
          <w:rPr>
            <w:color w:val="0000FF" w:themeColor="hyperlink"/>
            <w:u w:val="single"/>
          </w:rPr>
          <w:t>120-6121</w:t>
        </w:r>
      </w:hyperlink>
      <w:r>
        <w:t>):</w:t>
      </w:r>
    </w:p>
    <w:p w14:paraId="34F34A1E" w14:textId="77777777" w:rsidR="006C2C20" w:rsidRDefault="005F09C2">
      <w:pPr>
        <w:ind w:firstLine="567"/>
        <w:jc w:val="both"/>
      </w:pPr>
      <w:r>
        <w:t>1.1</w:t>
      </w:r>
      <w:r>
        <w:t>. Papildyti 4.354</w:t>
      </w:r>
      <w:r>
        <w:rPr>
          <w:vertAlign w:val="superscript"/>
        </w:rPr>
        <w:t>3</w:t>
      </w:r>
      <w:r>
        <w:t xml:space="preserve"> punktu:</w:t>
      </w:r>
    </w:p>
    <w:tbl>
      <w:tblPr>
        <w:tblW w:w="9070" w:type="dxa"/>
        <w:tblLayout w:type="fixed"/>
        <w:tblLook w:val="00A0" w:firstRow="1" w:lastRow="0" w:firstColumn="1" w:lastColumn="0" w:noHBand="0" w:noVBand="0"/>
      </w:tblPr>
      <w:tblGrid>
        <w:gridCol w:w="2518"/>
        <w:gridCol w:w="5223"/>
        <w:gridCol w:w="1329"/>
      </w:tblGrid>
      <w:tr w:rsidR="006C2C20" w14:paraId="34F34A22" w14:textId="77777777">
        <w:tc>
          <w:tcPr>
            <w:tcW w:w="2518" w:type="dxa"/>
          </w:tcPr>
          <w:p w14:paraId="34F34A1F" w14:textId="77777777" w:rsidR="006C2C20" w:rsidRDefault="005F09C2">
            <w:pPr>
              <w:ind w:firstLine="567"/>
            </w:pPr>
            <w:r>
              <w:t>„4.354</w:t>
            </w:r>
            <w:r>
              <w:rPr>
                <w:vertAlign w:val="superscript"/>
              </w:rPr>
              <w:t>3</w:t>
            </w:r>
            <w:r>
              <w:t>.</w:t>
            </w:r>
          </w:p>
        </w:tc>
        <w:tc>
          <w:tcPr>
            <w:tcW w:w="5223" w:type="dxa"/>
          </w:tcPr>
          <w:p w14:paraId="34F34A20" w14:textId="77777777" w:rsidR="006C2C20" w:rsidRDefault="005F09C2">
            <w:r>
              <w:t>leidimo atnaujinti (modernizuoti) pastatą išdavimą</w:t>
            </w:r>
          </w:p>
        </w:tc>
        <w:tc>
          <w:tcPr>
            <w:tcW w:w="1329" w:type="dxa"/>
            <w:vAlign w:val="bottom"/>
          </w:tcPr>
          <w:p w14:paraId="34F34A21" w14:textId="77777777" w:rsidR="006C2C20" w:rsidRDefault="005F09C2">
            <w:pPr>
              <w:jc w:val="right"/>
            </w:pPr>
            <w:r>
              <w:t>100 litų“.</w:t>
            </w:r>
          </w:p>
        </w:tc>
      </w:tr>
    </w:tbl>
    <w:p w14:paraId="34F34A23" w14:textId="77777777" w:rsidR="006C2C20" w:rsidRDefault="005F09C2">
      <w:pPr>
        <w:ind w:firstLine="567"/>
        <w:jc w:val="both"/>
      </w:pPr>
      <w:r>
        <w:t>1.2</w:t>
      </w:r>
      <w:r>
        <w:t>. Papildyti 4.354</w:t>
      </w:r>
      <w:r>
        <w:rPr>
          <w:vertAlign w:val="superscript"/>
        </w:rPr>
        <w:t>4</w:t>
      </w:r>
      <w:r>
        <w:t xml:space="preserve"> punktu:</w:t>
      </w:r>
    </w:p>
    <w:tbl>
      <w:tblPr>
        <w:tblW w:w="9070" w:type="dxa"/>
        <w:tblLayout w:type="fixed"/>
        <w:tblLook w:val="00A0" w:firstRow="1" w:lastRow="0" w:firstColumn="1" w:lastColumn="0" w:noHBand="0" w:noVBand="0"/>
      </w:tblPr>
      <w:tblGrid>
        <w:gridCol w:w="2518"/>
        <w:gridCol w:w="5223"/>
        <w:gridCol w:w="1329"/>
      </w:tblGrid>
      <w:tr w:rsidR="006C2C20" w14:paraId="34F34A27" w14:textId="77777777">
        <w:tc>
          <w:tcPr>
            <w:tcW w:w="2518" w:type="dxa"/>
          </w:tcPr>
          <w:p w14:paraId="34F34A24" w14:textId="77777777" w:rsidR="006C2C20" w:rsidRDefault="005F09C2">
            <w:pPr>
              <w:ind w:firstLine="567"/>
            </w:pPr>
            <w:r>
              <w:t>„4.354</w:t>
            </w:r>
            <w:r>
              <w:rPr>
                <w:vertAlign w:val="superscript"/>
              </w:rPr>
              <w:t>4</w:t>
            </w:r>
            <w:r>
              <w:t>.</w:t>
            </w:r>
          </w:p>
        </w:tc>
        <w:tc>
          <w:tcPr>
            <w:tcW w:w="5223" w:type="dxa"/>
          </w:tcPr>
          <w:p w14:paraId="34F34A25" w14:textId="77777777" w:rsidR="006C2C20" w:rsidRDefault="005F09C2">
            <w:r>
              <w:t xml:space="preserve">leidimo statyti </w:t>
            </w:r>
            <w:r>
              <w:t>naują statinį, leidimo rekonstruoti statinį perregistravimą naujo statytojo vardu</w:t>
            </w:r>
          </w:p>
        </w:tc>
        <w:tc>
          <w:tcPr>
            <w:tcW w:w="1329" w:type="dxa"/>
            <w:vAlign w:val="bottom"/>
          </w:tcPr>
          <w:p w14:paraId="34F34A26" w14:textId="77777777" w:rsidR="006C2C20" w:rsidRDefault="005F09C2">
            <w:pPr>
              <w:jc w:val="right"/>
            </w:pPr>
            <w:r>
              <w:t>100 litų“.</w:t>
            </w:r>
          </w:p>
        </w:tc>
      </w:tr>
    </w:tbl>
    <w:p w14:paraId="34F34A28" w14:textId="77777777" w:rsidR="006C2C20" w:rsidRDefault="005F09C2">
      <w:pPr>
        <w:ind w:firstLine="567"/>
        <w:jc w:val="both"/>
      </w:pPr>
      <w:r>
        <w:t>1.3</w:t>
      </w:r>
      <w:r>
        <w:t>. Papildyti 4.354</w:t>
      </w:r>
      <w:r>
        <w:rPr>
          <w:vertAlign w:val="superscript"/>
        </w:rPr>
        <w:t>5</w:t>
      </w:r>
      <w:r>
        <w:t xml:space="preserve"> punktu:</w:t>
      </w:r>
    </w:p>
    <w:tbl>
      <w:tblPr>
        <w:tblW w:w="9070" w:type="dxa"/>
        <w:tblLook w:val="00A0" w:firstRow="1" w:lastRow="0" w:firstColumn="1" w:lastColumn="0" w:noHBand="0" w:noVBand="0"/>
      </w:tblPr>
      <w:tblGrid>
        <w:gridCol w:w="2518"/>
        <w:gridCol w:w="5224"/>
        <w:gridCol w:w="1328"/>
      </w:tblGrid>
      <w:tr w:rsidR="006C2C20" w14:paraId="34F34A2D" w14:textId="77777777">
        <w:tc>
          <w:tcPr>
            <w:tcW w:w="2518" w:type="dxa"/>
          </w:tcPr>
          <w:p w14:paraId="34F34A29" w14:textId="77777777" w:rsidR="006C2C20" w:rsidRDefault="005F09C2">
            <w:pPr>
              <w:ind w:firstLine="567"/>
            </w:pPr>
            <w:r>
              <w:t>„4.354</w:t>
            </w:r>
            <w:r>
              <w:rPr>
                <w:vertAlign w:val="superscript"/>
              </w:rPr>
              <w:t>5</w:t>
            </w:r>
            <w:r>
              <w:t>.</w:t>
            </w:r>
          </w:p>
        </w:tc>
        <w:tc>
          <w:tcPr>
            <w:tcW w:w="5224" w:type="dxa"/>
          </w:tcPr>
          <w:p w14:paraId="34F34A2A" w14:textId="77777777" w:rsidR="006C2C20" w:rsidRDefault="005F09C2">
            <w:pPr>
              <w:rPr>
                <w:color w:val="000000"/>
              </w:rPr>
            </w:pPr>
            <w:r>
              <w:rPr>
                <w:color w:val="000000"/>
              </w:rPr>
              <w:t xml:space="preserve">rašytinį įgalioto valstybės tarnautojo pritarimą Lietuvos Respublikos statybos įstatymo 20 straipsnio 1 dalies </w:t>
            </w:r>
          </w:p>
          <w:p w14:paraId="34F34A2B" w14:textId="77777777" w:rsidR="006C2C20" w:rsidRDefault="005F09C2">
            <w:r>
              <w:rPr>
                <w:color w:val="000000"/>
              </w:rPr>
              <w:t>4–13 pu</w:t>
            </w:r>
            <w:r>
              <w:rPr>
                <w:color w:val="000000"/>
              </w:rPr>
              <w:t>nktuose nurodytam statinio projektui (kai jis yra privalomas)</w:t>
            </w:r>
          </w:p>
        </w:tc>
        <w:tc>
          <w:tcPr>
            <w:tcW w:w="1328" w:type="dxa"/>
            <w:vAlign w:val="bottom"/>
          </w:tcPr>
          <w:p w14:paraId="34F34A2C" w14:textId="77777777" w:rsidR="006C2C20" w:rsidRDefault="005F09C2">
            <w:pPr>
              <w:jc w:val="right"/>
            </w:pPr>
            <w:r>
              <w:t>100 litų“.</w:t>
            </w:r>
          </w:p>
        </w:tc>
      </w:tr>
    </w:tbl>
    <w:p w14:paraId="34F34A2E" w14:textId="77777777" w:rsidR="006C2C20" w:rsidRDefault="005F09C2">
      <w:pPr>
        <w:ind w:firstLine="567"/>
        <w:jc w:val="both"/>
      </w:pPr>
      <w:r>
        <w:t>1.4</w:t>
      </w:r>
      <w:r>
        <w:t>. Pripažinti netekusiais galios pastraipą „Apskričių viršininkų administracijų“ ir 4.461</w:t>
      </w:r>
      <w:r>
        <w:rPr>
          <w:vertAlign w:val="superscript"/>
        </w:rPr>
        <w:t>1</w:t>
      </w:r>
      <w:r>
        <w:t>, 4.461</w:t>
      </w:r>
      <w:r>
        <w:rPr>
          <w:vertAlign w:val="superscript"/>
        </w:rPr>
        <w:t>2</w:t>
      </w:r>
      <w:r>
        <w:t>, 4.461</w:t>
      </w:r>
      <w:r>
        <w:rPr>
          <w:vertAlign w:val="superscript"/>
        </w:rPr>
        <w:t>3</w:t>
      </w:r>
      <w:r>
        <w:t>, 4.461</w:t>
      </w:r>
      <w:r>
        <w:rPr>
          <w:vertAlign w:val="superscript"/>
        </w:rPr>
        <w:t>4</w:t>
      </w:r>
      <w:r>
        <w:t>, 4.461</w:t>
      </w:r>
      <w:r>
        <w:rPr>
          <w:vertAlign w:val="superscript"/>
        </w:rPr>
        <w:t>5</w:t>
      </w:r>
      <w:r>
        <w:t>, 4.461</w:t>
      </w:r>
      <w:r>
        <w:rPr>
          <w:vertAlign w:val="superscript"/>
        </w:rPr>
        <w:t>6</w:t>
      </w:r>
      <w:r>
        <w:t xml:space="preserve"> punktus.</w:t>
      </w:r>
    </w:p>
    <w:p w14:paraId="34F34A2F" w14:textId="77777777" w:rsidR="006C2C20" w:rsidRDefault="005F09C2">
      <w:pPr>
        <w:ind w:firstLine="567"/>
        <w:jc w:val="both"/>
      </w:pPr>
      <w:r>
        <w:t>2</w:t>
      </w:r>
      <w:r>
        <w:t xml:space="preserve">. Pripažinti netekusiais </w:t>
      </w:r>
      <w:r>
        <w:t>galios:</w:t>
      </w:r>
    </w:p>
    <w:p w14:paraId="34F34A30" w14:textId="77777777" w:rsidR="006C2C20" w:rsidRDefault="005F09C2">
      <w:pPr>
        <w:ind w:firstLine="567"/>
        <w:jc w:val="both"/>
      </w:pPr>
      <w:r>
        <w:t>2.1</w:t>
      </w:r>
      <w:r>
        <w:t xml:space="preserve">. Lietuvos Respublikos Vyriausybės 2003 m. spalio 30 d. nutarimą Nr. 1348 „Dėl Lietuvos Respublikos Vyriausybės 2000 m. gruodžio 15 d. nutarimo Nr. 1458 „Dėl valstybės rinkliavos objektų sąrašo, šios rinkliavos dydžių ir mokėjimo ir grąžinimo </w:t>
      </w:r>
      <w:r>
        <w:t xml:space="preserve">tvarkos patvirtinimo“ papildymo“ (Žin., 2003, Nr. </w:t>
      </w:r>
      <w:hyperlink r:id="rId15" w:tgtFrame="_blank" w:history="1">
        <w:r>
          <w:rPr>
            <w:color w:val="0000FF" w:themeColor="hyperlink"/>
            <w:u w:val="single"/>
          </w:rPr>
          <w:t>104-4656</w:t>
        </w:r>
      </w:hyperlink>
      <w:r>
        <w:t>);</w:t>
      </w:r>
    </w:p>
    <w:p w14:paraId="34F34A31" w14:textId="77777777" w:rsidR="006C2C20" w:rsidRDefault="005F09C2">
      <w:pPr>
        <w:ind w:firstLine="567"/>
        <w:jc w:val="both"/>
      </w:pPr>
      <w:r>
        <w:t>2.2</w:t>
      </w:r>
      <w:r>
        <w:t>. Lietuvos Respublikos Vyriausybės 2005 m. birželio 29 d. nutarimo Nr. 710 „Dėl Lietuvos Respublikos Vyriausy</w:t>
      </w:r>
      <w:r>
        <w:t xml:space="preserve">bės 2000 m. gruodžio 15 d. nutarimo Nr. 1458 „Dėl valstybės rinkliavos objektų sąrašo, šios rinkliavos dydžių ir mokėjimo ir grąžinimo taisyklių patvirtinimo“ pakeitimo“ (Žin., 2005, Nr. </w:t>
      </w:r>
      <w:hyperlink r:id="rId16" w:tgtFrame="_blank" w:history="1">
        <w:r>
          <w:rPr>
            <w:color w:val="0000FF" w:themeColor="hyperlink"/>
            <w:u w:val="single"/>
          </w:rPr>
          <w:t>81-2958</w:t>
        </w:r>
      </w:hyperlink>
      <w:r>
        <w:t>) 1.1.42, 1.1.43, 1.1.44, 1.1.45, 1.1.46 punktus;</w:t>
      </w:r>
    </w:p>
    <w:p w14:paraId="34F34A32" w14:textId="77777777" w:rsidR="006C2C20" w:rsidRDefault="005F09C2">
      <w:pPr>
        <w:ind w:firstLine="567"/>
        <w:jc w:val="both"/>
      </w:pPr>
      <w:r>
        <w:t>2.3</w:t>
      </w:r>
      <w:r>
        <w:t>. Lietuvos Respublikos Vyriausybės 2008 m. liepos 16 d. nutarimo Nr. 733 „Dėl Lietuvos Respublikos Vyriausybės 2000 m. gruodžio 15 d. nutarimo Nr. 1458 „Dėl valstybės rinkliavos obje</w:t>
      </w:r>
      <w:r>
        <w:t xml:space="preserve">ktų sąrašo, šios rinkliavos dydžių ir mokėjimo ir grąžinimo taisyklių patvirtinimo“ pakeitimo“ (Žin., 2008, Nr. </w:t>
      </w:r>
      <w:hyperlink r:id="rId17" w:tgtFrame="_blank" w:history="1">
        <w:r>
          <w:rPr>
            <w:color w:val="0000FF" w:themeColor="hyperlink"/>
            <w:u w:val="single"/>
          </w:rPr>
          <w:t>85-3383</w:t>
        </w:r>
      </w:hyperlink>
      <w:r>
        <w:t xml:space="preserve">) 5, 6, 7 punktus; </w:t>
      </w:r>
    </w:p>
    <w:p w14:paraId="34F34A33" w14:textId="77777777" w:rsidR="006C2C20" w:rsidRDefault="005F09C2">
      <w:pPr>
        <w:ind w:firstLine="567"/>
        <w:jc w:val="both"/>
      </w:pPr>
      <w:r>
        <w:t>2.4</w:t>
      </w:r>
      <w:r>
        <w:t>. Lietuvos Respublikos Vyriausybės 2009 m. kovo 18 d. nutarimo Nr. 207 „Dėl Lietuvos Respublikos Vyriausybės 2000 m. gruodžio 15 d. nutarimo Nr. 1458 „Dėl valstybės rinkliavos objektų sąrašo, šios rinkliavos dydžių ir mokėjimo ir grąžinimo taisyklių patvir</w:t>
      </w:r>
      <w:r>
        <w:t xml:space="preserve">tinimo“ pakeitimo“ (Žin., 2009, Nr. </w:t>
      </w:r>
      <w:hyperlink r:id="rId18" w:tgtFrame="_blank" w:history="1">
        <w:r>
          <w:rPr>
            <w:color w:val="0000FF" w:themeColor="hyperlink"/>
            <w:u w:val="single"/>
          </w:rPr>
          <w:t>34-1302</w:t>
        </w:r>
      </w:hyperlink>
      <w:r>
        <w:t>) 1.3 ir 1.4 punktus.</w:t>
      </w:r>
    </w:p>
    <w:p w14:paraId="34F34A34" w14:textId="77777777" w:rsidR="006C2C20" w:rsidRDefault="005F09C2">
      <w:pPr>
        <w:ind w:firstLine="567"/>
        <w:jc w:val="both"/>
      </w:pPr>
    </w:p>
    <w:p w14:paraId="34F34A35" w14:textId="0170571E" w:rsidR="006C2C20" w:rsidRDefault="005F09C2">
      <w:pPr>
        <w:tabs>
          <w:tab w:val="right" w:pos="9071"/>
        </w:tabs>
      </w:pPr>
      <w:r>
        <w:t>MINISTRAS PIRMININKAS</w:t>
      </w:r>
      <w:r>
        <w:tab/>
        <w:t>ANDRIUS KUBILIUS</w:t>
      </w:r>
    </w:p>
    <w:p w14:paraId="34F34A36" w14:textId="77777777" w:rsidR="006C2C20" w:rsidRDefault="006C2C20"/>
    <w:p w14:paraId="34F34A38" w14:textId="0CBB79F7" w:rsidR="006C2C20" w:rsidRDefault="005F09C2" w:rsidP="005F09C2">
      <w:pPr>
        <w:tabs>
          <w:tab w:val="right" w:pos="9071"/>
        </w:tabs>
      </w:pPr>
      <w:r>
        <w:t>FINANSŲ MINISTRĖ</w:t>
      </w:r>
      <w:r>
        <w:tab/>
        <w:t xml:space="preserve">INGRIDA </w:t>
      </w:r>
      <w:proofErr w:type="spellStart"/>
      <w:r>
        <w:t>ŠIMONYTĖ</w:t>
      </w:r>
      <w:proofErr w:type="spellEnd"/>
    </w:p>
    <w:bookmarkStart w:id="0" w:name="_GoBack" w:displacedByCustomXml="next"/>
    <w:bookmarkEnd w:id="0" w:displacedByCustomXml="next"/>
    <w:sectPr w:rsidR="006C2C20">
      <w:headerReference w:type="even" r:id="rId19"/>
      <w:headerReference w:type="default" r:id="rId20"/>
      <w:footerReference w:type="even" r:id="rId21"/>
      <w:footerReference w:type="default" r:id="rId22"/>
      <w:headerReference w:type="first" r:id="rId23"/>
      <w:footerReference w:type="first" r:id="rId24"/>
      <w:pgSz w:w="11906" w:h="16838"/>
      <w:pgMar w:top="1134" w:right="1134" w:bottom="1134" w:left="1701" w:header="567" w:footer="567" w:gutter="0"/>
      <w:pgNumType w:start="1"/>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F34A3C" w14:textId="77777777" w:rsidR="006C2C20" w:rsidRDefault="005F09C2">
      <w:r>
        <w:separator/>
      </w:r>
    </w:p>
  </w:endnote>
  <w:endnote w:type="continuationSeparator" w:id="0">
    <w:p w14:paraId="34F34A3D" w14:textId="77777777" w:rsidR="006C2C20" w:rsidRDefault="005F0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F34A41" w14:textId="77777777" w:rsidR="006C2C20" w:rsidRDefault="006C2C20">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F34A42" w14:textId="77777777" w:rsidR="006C2C20" w:rsidRDefault="006C2C20">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F34A44" w14:textId="77777777" w:rsidR="006C2C20" w:rsidRDefault="006C2C20">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F34A3A" w14:textId="77777777" w:rsidR="006C2C20" w:rsidRDefault="005F09C2">
      <w:r>
        <w:separator/>
      </w:r>
    </w:p>
  </w:footnote>
  <w:footnote w:type="continuationSeparator" w:id="0">
    <w:p w14:paraId="34F34A3B" w14:textId="77777777" w:rsidR="006C2C20" w:rsidRDefault="005F09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F34A3E" w14:textId="77777777" w:rsidR="006C2C20" w:rsidRDefault="005F09C2">
    <w:pPr>
      <w:framePr w:wrap="auto" w:vAnchor="text" w:hAnchor="margin" w:xAlign="center" w:y="1"/>
      <w:tabs>
        <w:tab w:val="center" w:pos="4153"/>
        <w:tab w:val="right" w:pos="8306"/>
      </w:tabs>
    </w:pPr>
    <w:r>
      <w:fldChar w:fldCharType="begin"/>
    </w:r>
    <w:r>
      <w:instrText xml:space="preserve">PAGE  </w:instrText>
    </w:r>
    <w:r>
      <w:fldChar w:fldCharType="separate"/>
    </w:r>
    <w:r>
      <w:t>1</w:t>
    </w:r>
    <w:r>
      <w:fldChar w:fldCharType="end"/>
    </w:r>
  </w:p>
  <w:p w14:paraId="34F34A3F" w14:textId="77777777" w:rsidR="006C2C20" w:rsidRDefault="006C2C20">
    <w:pPr>
      <w:tabs>
        <w:tab w:val="center" w:pos="4153"/>
        <w:tab w:val="right" w:pos="8306"/>
      </w:tabs>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F34A40" w14:textId="77777777" w:rsidR="006C2C20" w:rsidRDefault="006C2C20">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F34A43" w14:textId="77777777" w:rsidR="006C2C20" w:rsidRDefault="006C2C20">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 w:val="004C66E7"/>
    <w:rsid w:val="005F09C2"/>
    <w:rsid w:val="006C2C20"/>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34F34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F09C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F09C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E3A145C8DD49"/>
  <Relationship Id="rId11" Type="http://schemas.openxmlformats.org/officeDocument/2006/relationships/hyperlink" TargetMode="External" Target="https://www.e-tar.lt/portal/lt/legalAct/TAR.9A096551F4A9"/>
  <Relationship Id="rId12" Type="http://schemas.openxmlformats.org/officeDocument/2006/relationships/hyperlink" TargetMode="External" Target="https://www.e-tar.lt/portal/lt/legalAct/TAR.97DDC376EA85"/>
  <Relationship Id="rId13" Type="http://schemas.openxmlformats.org/officeDocument/2006/relationships/hyperlink" TargetMode="External" Target="https://www.e-tar.lt/portal/lt/legalAct/TAR.85174B72EC69"/>
  <Relationship Id="rId14" Type="http://schemas.openxmlformats.org/officeDocument/2006/relationships/hyperlink" TargetMode="External" Target="https://www.e-tar.lt/portal/lt/legalAct/TAR.8AA0FDE62991"/>
  <Relationship Id="rId15" Type="http://schemas.openxmlformats.org/officeDocument/2006/relationships/hyperlink" TargetMode="External" Target="https://www.e-tar.lt/portal/lt/legalAct/TAR.F000504E6A60"/>
  <Relationship Id="rId16" Type="http://schemas.openxmlformats.org/officeDocument/2006/relationships/hyperlink" TargetMode="External" Target="https://www.e-tar.lt/portal/lt/legalAct/TAR.9A096551F4A9"/>
  <Relationship Id="rId17" Type="http://schemas.openxmlformats.org/officeDocument/2006/relationships/hyperlink" TargetMode="External" Target="https://www.e-tar.lt/portal/lt/legalAct/TAR.97DDC376EA85"/>
  <Relationship Id="rId18" Type="http://schemas.openxmlformats.org/officeDocument/2006/relationships/hyperlink" TargetMode="External" Target="https://www.e-tar.lt/portal/lt/legalAct/TAR.85174B72EC69"/>
  <Relationship Id="rId19" Type="http://schemas.openxmlformats.org/officeDocument/2006/relationships/header" Target="header1.xml"/>
  <Relationship Id="rId2" Type="http://schemas.openxmlformats.org/officeDocument/2006/relationships/styles" Target="styles.xml"/>
  <Relationship Id="rId20" Type="http://schemas.openxmlformats.org/officeDocument/2006/relationships/header" Target="header2.xml"/>
  <Relationship Id="rId21" Type="http://schemas.openxmlformats.org/officeDocument/2006/relationships/footer" Target="footer1.xml"/>
  <Relationship Id="rId22" Type="http://schemas.openxmlformats.org/officeDocument/2006/relationships/footer" Target="footer2.xml"/>
  <Relationship Id="rId23" Type="http://schemas.openxmlformats.org/officeDocument/2006/relationships/header" Target="header3.xml"/>
  <Relationship Id="rId24" Type="http://schemas.openxmlformats.org/officeDocument/2006/relationships/footer" Target="footer3.xml"/>
  <Relationship Id="rId25" Type="http://schemas.openxmlformats.org/officeDocument/2006/relationships/fontTable" Target="fontTable.xml"/>
  <Relationship Id="rId26" Type="http://schemas.openxmlformats.org/officeDocument/2006/relationships/glossaryDocument" Target="glossary/document.xml"/>
  <Relationship Id="rId27"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532"/>
    <w:rsid w:val="00B7253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B72532"/>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B7253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2219</Words>
  <Characters>1266</Characters>
  <Application>Microsoft Office Word</Application>
  <DocSecurity>0</DocSecurity>
  <Lines>10</Lines>
  <Paragraphs>6</Paragraphs>
  <ScaleCrop>false</ScaleCrop>
  <Company>LRVK</Company>
  <LinksUpToDate>false</LinksUpToDate>
  <CharactersWithSpaces>3479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2015-06-29T19:21:00Z</dcterms:created>
  <dc:creator>lrvk</dc:creator>
  <lastModifiedBy>BODIN Aušra</lastModifiedBy>
  <lastPrinted>2012-04-26T05:59:00Z</lastPrinted>
  <dcterms:modified xsi:type="dcterms:W3CDTF">2017-06-22T13:50:00Z</dcterms:modified>
  <revision>3</revision>
</coreProperties>
</file>