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22E2" w14:textId="77777777" w:rsidR="006920FC" w:rsidRDefault="00FB1145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6D7F23A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 w14:paraId="6D7F22E3" w14:textId="77777777" w:rsidR="006920FC" w:rsidRDefault="00FB1145">
      <w:pPr>
        <w:keepLines/>
        <w:widowControl w:val="0"/>
        <w:suppressAutoHyphens/>
        <w:jc w:val="center"/>
        <w:rPr>
          <w:rFonts w:ascii="Times New Roman Bold" w:hAnsi="Times New Roman Bold"/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</w:rPr>
        <w:t xml:space="preserve">MOKESČIO UŽ VALSTYBINIUS GAMTOS IŠTEKLIUS ĮSTATYMO 6, 7 STRAIPSNIŲ IR 1, 2 PRIEDŲ PAKEITIMO IR PAPILDYMO </w:t>
      </w:r>
      <w:r>
        <w:rPr>
          <w:b/>
          <w:bCs/>
          <w:caps/>
          <w:color w:val="000000"/>
        </w:rPr>
        <w:br/>
      </w:r>
      <w:r>
        <w:rPr>
          <w:rFonts w:ascii="Times New Roman Bold" w:hAnsi="Times New Roman Bold"/>
          <w:b/>
          <w:bCs/>
          <w:caps/>
          <w:color w:val="000000"/>
          <w:spacing w:val="60"/>
        </w:rPr>
        <w:t>ĮSTATYMAS</w:t>
      </w:r>
    </w:p>
    <w:p w14:paraId="6D7F22E4" w14:textId="77777777" w:rsidR="006920FC" w:rsidRDefault="006920FC">
      <w:pPr>
        <w:keepLines/>
        <w:widowControl w:val="0"/>
        <w:suppressAutoHyphens/>
        <w:jc w:val="center"/>
        <w:rPr>
          <w:color w:val="000000"/>
        </w:rPr>
      </w:pPr>
    </w:p>
    <w:p w14:paraId="6D7F22E5" w14:textId="77777777" w:rsidR="006920FC" w:rsidRDefault="00FB114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20 d. Nr. XI-1818</w:t>
      </w:r>
    </w:p>
    <w:p w14:paraId="6D7F22E6" w14:textId="77777777" w:rsidR="006920FC" w:rsidRDefault="00FB114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D7F22E7" w14:textId="77777777" w:rsidR="006920FC" w:rsidRDefault="006920FC">
      <w:pPr>
        <w:widowControl w:val="0"/>
        <w:suppressAutoHyphens/>
        <w:jc w:val="center"/>
        <w:rPr>
          <w:color w:val="000000"/>
        </w:rPr>
      </w:pPr>
    </w:p>
    <w:p w14:paraId="6D7F22E8" w14:textId="77777777" w:rsidR="006920FC" w:rsidRDefault="00FB1145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1991, Nr. </w:t>
      </w:r>
      <w:hyperlink r:id="rId10" w:tgtFrame="_blank" w:history="1">
        <w:r>
          <w:rPr>
            <w:color w:val="0000FF" w:themeColor="hyperlink"/>
            <w:u w:val="single"/>
          </w:rPr>
          <w:t>11-274</w:t>
        </w:r>
      </w:hyperlink>
      <w:r>
        <w:rPr>
          <w:color w:val="000000"/>
        </w:rPr>
        <w:t xml:space="preserve">; 2006, Nr. </w:t>
      </w:r>
      <w:hyperlink r:id="rId11" w:tgtFrame="_blank" w:history="1">
        <w:r>
          <w:rPr>
            <w:color w:val="0000FF" w:themeColor="hyperlink"/>
            <w:u w:val="single"/>
          </w:rPr>
          <w:t>65-2382</w:t>
        </w:r>
      </w:hyperlink>
      <w:r>
        <w:rPr>
          <w:color w:val="000000"/>
        </w:rPr>
        <w:t xml:space="preserve">; 2009, Nr. </w:t>
      </w:r>
      <w:hyperlink r:id="rId12" w:tgtFrame="_blank" w:history="1">
        <w:r>
          <w:rPr>
            <w:color w:val="0000FF" w:themeColor="hyperlink"/>
            <w:u w:val="single"/>
          </w:rPr>
          <w:t>93-</w:t>
        </w:r>
        <w:r>
          <w:rPr>
            <w:color w:val="0000FF" w:themeColor="hyperlink"/>
            <w:u w:val="single"/>
          </w:rPr>
          <w:t>3989</w:t>
        </w:r>
      </w:hyperlink>
      <w:r>
        <w:rPr>
          <w:color w:val="000000"/>
        </w:rPr>
        <w:t xml:space="preserve">; 2010, Nr. </w:t>
      </w:r>
      <w:hyperlink r:id="rId13" w:tgtFrame="_blank" w:history="1">
        <w:r>
          <w:rPr>
            <w:color w:val="0000FF" w:themeColor="hyperlink"/>
            <w:u w:val="single"/>
          </w:rPr>
          <w:t>139-710</w:t>
        </w:r>
        <w:bookmarkStart w:id="0" w:name="_GoBack"/>
        <w:bookmarkEnd w:id="0"/>
        <w:r>
          <w:rPr>
            <w:color w:val="0000FF" w:themeColor="hyperlink"/>
            <w:u w:val="single"/>
          </w:rPr>
          <w:t>4</w:t>
        </w:r>
      </w:hyperlink>
      <w:r>
        <w:rPr>
          <w:color w:val="000000"/>
        </w:rPr>
        <w:t>)</w:t>
      </w:r>
    </w:p>
    <w:p w14:paraId="6D7F22E9" w14:textId="77777777" w:rsidR="006920FC" w:rsidRDefault="006920FC">
      <w:pPr>
        <w:ind w:firstLine="567"/>
        <w:jc w:val="both"/>
      </w:pPr>
    </w:p>
    <w:p w14:paraId="6D7F22EA" w14:textId="77777777" w:rsidR="006920FC" w:rsidRDefault="00FB1145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6 straipsnio pakeitimas ir papildymas</w:t>
      </w:r>
    </w:p>
    <w:p w14:paraId="6D7F22EB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6 straipsnio 3 ir 4 dalis, straipsnį papildyti 5 ir 6 dalimis ir visą straipsnį išdės</w:t>
      </w:r>
      <w:r>
        <w:rPr>
          <w:color w:val="000000"/>
        </w:rPr>
        <w:t>tyti taip:</w:t>
      </w:r>
    </w:p>
    <w:p w14:paraId="6D7F22EC" w14:textId="77777777" w:rsidR="006920FC" w:rsidRDefault="006920FC">
      <w:pPr>
        <w:ind w:firstLine="567"/>
        <w:jc w:val="both"/>
      </w:pPr>
    </w:p>
    <w:p w14:paraId="6D7F22ED" w14:textId="77777777" w:rsidR="006920FC" w:rsidRDefault="00FB1145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Mokesčio tarifų nustatymas ir jų indeksavimas</w:t>
      </w:r>
    </w:p>
    <w:p w14:paraId="6D7F22EE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Mokesčio už valstybinius gamtos išteklius tarifai nustatyti šio įstatymo 1, 2 ir 3 prieduose.</w:t>
      </w:r>
    </w:p>
    <w:p w14:paraId="6D7F22EF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Už nedeklaruotą ar deklaruotą mažesnį negu išgautas gamtos išteklių kiekį ir (ar) be leidimo išgautą gamtos išteklių kiekį taikomas didesnis mokesčio tarifas. Jis apskaičiuojamas šio įstatymo 1, 2 ir 3 prieduose nustatytus tarifus dauginant iš  koeficien</w:t>
      </w:r>
      <w:r>
        <w:rPr>
          <w:color w:val="000000"/>
        </w:rPr>
        <w:t>to 10.</w:t>
      </w:r>
    </w:p>
    <w:p w14:paraId="6D7F22F0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Šio įstatymo 1 ir 2 prieduose nustatyti tarifai mokesčio mokėtojo indeksuojami pagal Lietuvos statistikos departamento skelbiamą mokestinio ketvirčio vartotojų kainų indeksą. Kainų indeksas nustatomas palyginus mokestinio ketvirčio antrojo mė</w:t>
      </w:r>
      <w:r>
        <w:rPr>
          <w:color w:val="000000"/>
        </w:rPr>
        <w:t>nesio kainas su 2005 metų gruodžio mėnesio kainomis.</w:t>
      </w:r>
    </w:p>
    <w:p w14:paraId="6D7F22F1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Šio įstatymo 3 priede nustatyti tarifai mokesčio mokėtojo indeksuojami pagal Lietuvos statistikos departamento skelbiamą mokestinių metų vartotojų kainų indeksą. Kainų indeksas nustatomas palyginu</w:t>
      </w:r>
      <w:r>
        <w:rPr>
          <w:color w:val="000000"/>
        </w:rPr>
        <w:t>s mokestinių metų gruodžio mėnesio kainas su 2005 metų gruodžio mėnesio kainomis.</w:t>
      </w:r>
    </w:p>
    <w:p w14:paraId="6D7F22F2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Indeksavimo koeficientas, kurį taikant indeksuojami mokesčio už valstybinius gamtos išteklius tarifai, nustatomas vartotojų kainų indeksą dalijant iš šimto.</w:t>
      </w:r>
    </w:p>
    <w:p w14:paraId="6D7F22F3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Ind</w:t>
      </w:r>
      <w:r>
        <w:rPr>
          <w:color w:val="000000"/>
        </w:rPr>
        <w:t>eksuoti mokesčio tarifai, išskyrus mokesčio už medžiojamųjų gyvūnų išteklius tarifus, įsigalioja nuo kiekvieno mokestinio ketvirčio, kurio mokestis deklaruojamas, pradžios. Indeksuoti mokesčio už medžiojamųjų gyvūnų išteklius tarifai įsigalioja nuo kalendo</w:t>
      </w:r>
      <w:r>
        <w:rPr>
          <w:color w:val="000000"/>
        </w:rPr>
        <w:t>rinių metų, kurių mokestis deklaruojamas, pradžios.“</w:t>
      </w:r>
    </w:p>
    <w:p w14:paraId="6D7F22F4" w14:textId="77777777" w:rsidR="006920FC" w:rsidRDefault="00FB1145">
      <w:pPr>
        <w:ind w:firstLine="567"/>
        <w:jc w:val="both"/>
      </w:pPr>
    </w:p>
    <w:p w14:paraId="6D7F22F5" w14:textId="77777777" w:rsidR="006920FC" w:rsidRDefault="00FB1145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7 straipsnio 1 ir 4 dalių pakeitimas </w:t>
      </w:r>
    </w:p>
    <w:p w14:paraId="6D7F22F6" w14:textId="77777777" w:rsidR="006920FC" w:rsidRDefault="00FB1145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7 straipsnio 1 dalį ir ją išdėstyti taip:</w:t>
      </w:r>
    </w:p>
    <w:p w14:paraId="6D7F22F7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. Mokesčio už valstybinius gamtos išteklius, išskyrus mokestį už </w:t>
      </w:r>
      <w:r>
        <w:rPr>
          <w:color w:val="000000"/>
        </w:rPr>
        <w:t>medžiojamųjų gyvūnų išteklius, mokestinis laikotarpis yra kalendorinis ketvirtis. Mokesčio už medžiojamųjų gyvūnų išteklius mokestinis laikotarpis yra kalendoriniai metai.“</w:t>
      </w:r>
    </w:p>
    <w:p w14:paraId="6D7F22F8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7 straipsnio 4 dalį ir ją išdėstyti taip:</w:t>
      </w:r>
    </w:p>
    <w:p w14:paraId="6D7F22F9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Mokesčio mokėto</w:t>
      </w:r>
      <w:r>
        <w:rPr>
          <w:color w:val="000000"/>
        </w:rPr>
        <w:t>jai, mokestiniam laikotarpiui pasibaigus, privalo užpildyti mokesčio už valstybinius gamtos išteklius deklaracijas ir jas pateikti tai teritorinei valstybinei mokesčių inspekcijai, kurios veiklos teritorijoje jie yra arba privalo būti įregistruoti mokesčio</w:t>
      </w:r>
      <w:r>
        <w:rPr>
          <w:color w:val="000000"/>
        </w:rPr>
        <w:t xml:space="preserve"> mokėtojais, ir sumokėti mokestį už valstybinius gamtos išteklius per kalendorinį mėnesį, einantį po mokestinio laikotarpio, kurio mokestis deklaruojamas, pabaigos.“</w:t>
      </w:r>
    </w:p>
    <w:p w14:paraId="6D7F22FA" w14:textId="77777777" w:rsidR="006920FC" w:rsidRDefault="00FB1145">
      <w:pPr>
        <w:ind w:firstLine="567"/>
        <w:jc w:val="both"/>
      </w:pPr>
    </w:p>
    <w:p w14:paraId="6D7F22FB" w14:textId="77777777" w:rsidR="006920FC" w:rsidRDefault="00FB1145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1 priedo pakeitimas</w:t>
      </w:r>
    </w:p>
    <w:p w14:paraId="6D7F22FC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Įstatymo 1 priedą ir jį i</w:t>
      </w:r>
      <w:r>
        <w:rPr>
          <w:color w:val="000000"/>
        </w:rPr>
        <w:t>šdėstyti taip:</w:t>
      </w:r>
    </w:p>
    <w:p w14:paraId="6D7F22FD" w14:textId="77777777" w:rsidR="006920FC" w:rsidRDefault="006920FC">
      <w:pPr>
        <w:widowControl w:val="0"/>
        <w:suppressAutoHyphens/>
        <w:ind w:firstLine="567"/>
        <w:jc w:val="both"/>
        <w:rPr>
          <w:color w:val="000000"/>
        </w:rPr>
      </w:pPr>
    </w:p>
    <w:p w14:paraId="6D7F22FE" w14:textId="77777777" w:rsidR="006920FC" w:rsidRDefault="00FB1145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„Lietuvos Respublikos </w:t>
      </w:r>
    </w:p>
    <w:p w14:paraId="6D7F22FF" w14:textId="77777777" w:rsidR="006920FC" w:rsidRDefault="00FB1145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mokesčio už valstybinius </w:t>
      </w:r>
    </w:p>
    <w:p w14:paraId="6D7F2300" w14:textId="77777777" w:rsidR="006920FC" w:rsidRDefault="00FB1145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gamtos išteklius įstatymo</w:t>
      </w:r>
    </w:p>
    <w:p w14:paraId="6D7F2301" w14:textId="77777777" w:rsidR="006920FC" w:rsidRDefault="00FB1145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 priedas </w:t>
      </w:r>
    </w:p>
    <w:p w14:paraId="6D7F2302" w14:textId="77777777" w:rsidR="006920FC" w:rsidRDefault="006920FC">
      <w:pPr>
        <w:widowControl w:val="0"/>
        <w:suppressAutoHyphens/>
        <w:ind w:firstLine="567"/>
        <w:jc w:val="both"/>
        <w:rPr>
          <w:color w:val="000000"/>
        </w:rPr>
      </w:pPr>
    </w:p>
    <w:p w14:paraId="6D7F2303" w14:textId="77777777" w:rsidR="006920FC" w:rsidRDefault="00FB1145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MokesčiO už naudingąsias IŠKASENas tarifai</w:t>
      </w:r>
    </w:p>
    <w:p w14:paraId="6D7F2304" w14:textId="77777777" w:rsidR="006920FC" w:rsidRDefault="006920FC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3295"/>
        <w:gridCol w:w="1933"/>
        <w:gridCol w:w="2825"/>
      </w:tblGrid>
      <w:tr w:rsidR="006920FC" w14:paraId="6D7F2309" w14:textId="77777777">
        <w:trPr>
          <w:trHeight w:val="60"/>
          <w:tblHeader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F2305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F2306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Ištekliai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F2307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Matavimo vnt.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08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Tarifas (Lt)</w:t>
            </w:r>
          </w:p>
        </w:tc>
      </w:tr>
      <w:tr w:rsidR="006920FC" w14:paraId="6D7F230E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0A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0B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Anhidritas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0C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0D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920FC" w14:paraId="6D7F2313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0F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0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Dolomitas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1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2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6920FC" w14:paraId="6D7F2318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4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5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Durpės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6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7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920FC" w14:paraId="6D7F231D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9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A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Gintaras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B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C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</w:tr>
      <w:tr w:rsidR="006920FC" w14:paraId="6D7F2322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E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1F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Klintis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0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1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2,09</w:t>
            </w:r>
          </w:p>
        </w:tc>
      </w:tr>
      <w:tr w:rsidR="006920FC" w14:paraId="6D7F2327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3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4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Kreidos mergelis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5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6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2,26</w:t>
            </w:r>
          </w:p>
        </w:tc>
      </w:tr>
      <w:tr w:rsidR="006920FC" w14:paraId="6D7F232C" w14:textId="77777777">
        <w:trPr>
          <w:trHeight w:val="20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8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9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Molis: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A" w14:textId="77777777" w:rsidR="006920FC" w:rsidRDefault="006920FC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B" w14:textId="77777777" w:rsidR="006920FC" w:rsidRDefault="006920FC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</w:tr>
      <w:tr w:rsidR="006920FC" w14:paraId="6D7F2331" w14:textId="77777777">
        <w:trPr>
          <w:trHeight w:val="23"/>
        </w:trPr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D" w14:textId="77777777" w:rsidR="006920FC" w:rsidRDefault="006920FC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E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devono periodo 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2F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0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</w:tr>
      <w:tr w:rsidR="006920FC" w14:paraId="6D7F2336" w14:textId="77777777">
        <w:trPr>
          <w:trHeight w:val="171"/>
        </w:trPr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2" w14:textId="77777777" w:rsidR="006920FC" w:rsidRDefault="006920FC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3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triaso periodo 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4" w14:textId="77777777" w:rsidR="006920FC" w:rsidRDefault="006920FC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825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5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2,09</w:t>
            </w:r>
          </w:p>
        </w:tc>
      </w:tr>
      <w:tr w:rsidR="006920FC" w14:paraId="6D7F233B" w14:textId="77777777">
        <w:trPr>
          <w:trHeight w:val="23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7" w14:textId="77777777" w:rsidR="006920FC" w:rsidRDefault="006920FC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8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kitas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9" w14:textId="77777777" w:rsidR="006920FC" w:rsidRDefault="006920FC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A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6920FC" w14:paraId="6D7F2340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C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D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Opoka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E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3F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</w:tr>
      <w:tr w:rsidR="006920FC" w14:paraId="6D7F2345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41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42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Sapropelis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43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44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0,85 </w:t>
            </w:r>
          </w:p>
        </w:tc>
      </w:tr>
      <w:tr w:rsidR="006920FC" w14:paraId="6D7F234A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46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47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Smėlis moliui liesinti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48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49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6920FC" w14:paraId="6D7F234F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4B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4C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Smėlis stiklui gaminti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4D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4E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</w:tr>
      <w:tr w:rsidR="006920FC" w14:paraId="6D7F2354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50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51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Smėlis silikatiniams dirbiniams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52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53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6920FC" w14:paraId="6D7F2359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55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56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Kitas smėlis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57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58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</w:tr>
      <w:tr w:rsidR="006920FC" w14:paraId="6D7F235E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5A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5B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Žvyras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5C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F235D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</w:tr>
    </w:tbl>
    <w:p w14:paraId="6D7F235F" w14:textId="77777777" w:rsidR="006920FC" w:rsidRDefault="00FB1145">
      <w:pPr>
        <w:ind w:firstLine="567"/>
        <w:jc w:val="right"/>
      </w:pPr>
      <w:r>
        <w:rPr>
          <w:color w:val="000000"/>
        </w:rPr>
        <w:t>“</w:t>
      </w:r>
    </w:p>
    <w:p w14:paraId="6D7F2360" w14:textId="77777777" w:rsidR="006920FC" w:rsidRDefault="00FB1145">
      <w:pPr>
        <w:keepLines/>
        <w:widowControl w:val="0"/>
        <w:suppressAutoHyphens/>
        <w:ind w:firstLine="567"/>
        <w:rPr>
          <w:bCs/>
          <w:color w:val="000000"/>
        </w:rPr>
      </w:pPr>
    </w:p>
    <w:p w14:paraId="6D7F2361" w14:textId="77777777" w:rsidR="006920FC" w:rsidRDefault="00FB1145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2 priedo pakeitimas</w:t>
      </w:r>
    </w:p>
    <w:p w14:paraId="6D7F2362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Įstatymo 2 priedą ir jį išdėstyti taip:</w:t>
      </w:r>
    </w:p>
    <w:p w14:paraId="6D7F2363" w14:textId="77777777" w:rsidR="006920FC" w:rsidRDefault="006920FC">
      <w:pPr>
        <w:widowControl w:val="0"/>
        <w:suppressAutoHyphens/>
        <w:ind w:firstLine="567"/>
        <w:jc w:val="both"/>
        <w:rPr>
          <w:color w:val="000000"/>
        </w:rPr>
      </w:pPr>
    </w:p>
    <w:p w14:paraId="6D7F2364" w14:textId="77777777" w:rsidR="006920FC" w:rsidRDefault="00FB1145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„Lietuvos Respublikos </w:t>
      </w:r>
    </w:p>
    <w:p w14:paraId="6D7F2365" w14:textId="77777777" w:rsidR="006920FC" w:rsidRDefault="00FB1145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mokesčio už valstybinius </w:t>
      </w:r>
    </w:p>
    <w:p w14:paraId="6D7F2366" w14:textId="77777777" w:rsidR="006920FC" w:rsidRDefault="00FB1145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gamtos išteklius įstatymo</w:t>
      </w:r>
    </w:p>
    <w:p w14:paraId="6D7F2367" w14:textId="77777777" w:rsidR="006920FC" w:rsidRDefault="00FB1145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 priedas </w:t>
      </w:r>
    </w:p>
    <w:p w14:paraId="6D7F2368" w14:textId="77777777" w:rsidR="006920FC" w:rsidRDefault="006920FC">
      <w:pPr>
        <w:widowControl w:val="0"/>
        <w:suppressAutoHyphens/>
        <w:ind w:firstLine="567"/>
        <w:jc w:val="both"/>
        <w:rPr>
          <w:color w:val="000000"/>
        </w:rPr>
      </w:pPr>
    </w:p>
    <w:p w14:paraId="6D7F2369" w14:textId="77777777" w:rsidR="006920FC" w:rsidRDefault="00FB1145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MOKESČIO UŽ VANDENĮ ir statybinį gruntą tarifai</w:t>
      </w:r>
    </w:p>
    <w:p w14:paraId="6D7F236A" w14:textId="77777777" w:rsidR="006920FC" w:rsidRDefault="006920FC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6111"/>
        <w:gridCol w:w="1942"/>
      </w:tblGrid>
      <w:tr w:rsidR="006920FC" w14:paraId="6D7F236F" w14:textId="77777777">
        <w:trPr>
          <w:trHeight w:val="60"/>
          <w:tblHeader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7F236B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7F236C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Ištekliai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6D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Tarifas</w:t>
            </w:r>
          </w:p>
          <w:p w14:paraId="6D7F236E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(Lt/m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)</w:t>
            </w:r>
          </w:p>
        </w:tc>
      </w:tr>
      <w:tr w:rsidR="006920FC" w14:paraId="6D7F2373" w14:textId="77777777">
        <w:trPr>
          <w:trHeight w:val="42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70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71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Požeminis vanduo, išskyrus mineralinį: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72" w14:textId="77777777" w:rsidR="006920FC" w:rsidRDefault="006920FC">
            <w:pPr>
              <w:widowControl w:val="0"/>
              <w:suppressAutoHyphens/>
              <w:ind w:left="8730" w:hanging="8730"/>
              <w:jc w:val="center"/>
              <w:rPr>
                <w:color w:val="000000"/>
              </w:rPr>
            </w:pPr>
          </w:p>
        </w:tc>
      </w:tr>
      <w:tr w:rsidR="006920FC" w14:paraId="6D7F2377" w14:textId="77777777">
        <w:trPr>
          <w:trHeight w:val="52"/>
        </w:trPr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74" w14:textId="77777777" w:rsidR="006920FC" w:rsidRDefault="006920FC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6111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75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a) vandens tiekėjo tiekiamas namų ūkio reikmėms ir patalpų šildymui;</w:t>
            </w:r>
          </w:p>
        </w:tc>
        <w:tc>
          <w:tcPr>
            <w:tcW w:w="1942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76" w14:textId="77777777" w:rsidR="006920FC" w:rsidRDefault="00FB1145">
            <w:pPr>
              <w:widowControl w:val="0"/>
              <w:suppressAutoHyphens/>
              <w:ind w:left="8730" w:hanging="8730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6920FC" w14:paraId="6D7F237B" w14:textId="77777777">
        <w:trPr>
          <w:trHeight w:val="276"/>
        </w:trPr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78" w14:textId="77777777" w:rsidR="006920FC" w:rsidRDefault="006920FC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6111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79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</w:rPr>
              <w:t xml:space="preserve">juridinių asmenų naudojamas komerciniams tikslams, </w:t>
            </w:r>
            <w:r>
              <w:rPr>
                <w:color w:val="000000"/>
              </w:rPr>
              <w:lastRenderedPageBreak/>
              <w:t>supilstytas į tarą;</w:t>
            </w:r>
          </w:p>
        </w:tc>
        <w:tc>
          <w:tcPr>
            <w:tcW w:w="1942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7A" w14:textId="77777777" w:rsidR="006920FC" w:rsidRDefault="00FB1145">
            <w:pPr>
              <w:widowControl w:val="0"/>
              <w:suppressAutoHyphens/>
              <w:ind w:left="8730" w:hanging="87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10,8</w:t>
            </w:r>
          </w:p>
        </w:tc>
      </w:tr>
      <w:tr w:rsidR="006920FC" w14:paraId="6D7F237F" w14:textId="77777777">
        <w:trPr>
          <w:trHeight w:val="75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7C" w14:textId="77777777" w:rsidR="006920FC" w:rsidRDefault="006920FC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7D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c) kitas (a ir b punktuose nenurodytas) požeminis vanduo.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7E" w14:textId="77777777" w:rsidR="006920FC" w:rsidRDefault="00FB1145">
            <w:pPr>
              <w:widowControl w:val="0"/>
              <w:suppressAutoHyphens/>
              <w:ind w:left="8730" w:hanging="8730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6920FC" w14:paraId="6D7F2383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80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81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Mineralinis vanduo, išskyrus mineralinį vandenį, naudojamą gydymo įstaigose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82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10,8 </w:t>
            </w:r>
          </w:p>
        </w:tc>
      </w:tr>
      <w:tr w:rsidR="006920FC" w14:paraId="6D7F2387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84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85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Mineralinis vanduo, </w:t>
            </w:r>
            <w:r>
              <w:rPr>
                <w:color w:val="000000"/>
              </w:rPr>
              <w:t>naudojamas gydymo įstaigose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86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6920FC" w14:paraId="6D7F238B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88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89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Paviršinis vanduo pramonei ir žemės ūkiui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8A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</w:tr>
      <w:tr w:rsidR="006920FC" w14:paraId="6D7F238F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8C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8D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Paviršinis vanduo kondensacinėms šiluminėms elektrinėms aušinti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8E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0,0007</w:t>
            </w:r>
          </w:p>
        </w:tc>
      </w:tr>
      <w:tr w:rsidR="006920FC" w14:paraId="6D7F2393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90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91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Paviršinis vanduo žuvininkystei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92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0,0005</w:t>
            </w:r>
          </w:p>
        </w:tc>
      </w:tr>
      <w:tr w:rsidR="006920FC" w14:paraId="6D7F2397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94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95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Paviršinis vanduo hidroenergetikai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96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0,00003</w:t>
            </w:r>
          </w:p>
        </w:tc>
      </w:tr>
      <w:tr w:rsidR="006920FC" w14:paraId="6D7F239B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98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99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Paviršinis vanduo atominei elektrinei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9A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</w:tr>
      <w:tr w:rsidR="006920FC" w14:paraId="6D7F239F" w14:textId="77777777">
        <w:trPr>
          <w:trHeight w:val="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9C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9D" w14:textId="77777777" w:rsidR="006920FC" w:rsidRDefault="00FB1145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Statybinis gruntas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239E" w14:textId="77777777" w:rsidR="006920FC" w:rsidRDefault="00FB1145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</w:tbl>
    <w:p w14:paraId="6D7F23A0" w14:textId="77777777" w:rsidR="006920FC" w:rsidRDefault="00FB1145">
      <w:pPr>
        <w:ind w:firstLine="567"/>
        <w:jc w:val="right"/>
      </w:pPr>
      <w:r>
        <w:rPr>
          <w:color w:val="000000"/>
        </w:rPr>
        <w:t>“</w:t>
      </w:r>
    </w:p>
    <w:p w14:paraId="6D7F23A1" w14:textId="77777777" w:rsidR="006920FC" w:rsidRDefault="00FB1145">
      <w:pPr>
        <w:keepLines/>
        <w:widowControl w:val="0"/>
        <w:suppressAutoHyphens/>
        <w:ind w:firstLine="567"/>
        <w:rPr>
          <w:bCs/>
          <w:color w:val="000000"/>
        </w:rPr>
      </w:pPr>
    </w:p>
    <w:p w14:paraId="6D7F23A2" w14:textId="77777777" w:rsidR="006920FC" w:rsidRDefault="00FB1145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6D7F23A3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2012 m. sausio 1 d.</w:t>
      </w:r>
    </w:p>
    <w:p w14:paraId="6D7F23A4" w14:textId="7777777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</w:p>
    <w:p w14:paraId="6D7F23A5" w14:textId="0B0BB997" w:rsidR="006920FC" w:rsidRDefault="00FB1145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6D7F23A6" w14:textId="77777777" w:rsidR="006920FC" w:rsidRDefault="006920FC">
      <w:pPr>
        <w:widowControl w:val="0"/>
        <w:suppressAutoHyphens/>
        <w:ind w:firstLine="567"/>
        <w:jc w:val="both"/>
        <w:rPr>
          <w:color w:val="000000"/>
        </w:rPr>
      </w:pPr>
    </w:p>
    <w:p w14:paraId="6D7F23A7" w14:textId="77777777" w:rsidR="006920FC" w:rsidRDefault="006920FC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522164CD" w14:textId="77777777" w:rsidR="00FB1145" w:rsidRDefault="00FB1145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D7F23A8" w14:textId="77777777" w:rsidR="006920FC" w:rsidRDefault="00FB1145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6D7F23AB" w14:textId="32167975" w:rsidR="006920FC" w:rsidRDefault="00FB1145"/>
    <w:sectPr w:rsidR="006920FC" w:rsidSect="00FB11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851" w:bottom="1134" w:left="1701" w:header="709" w:footer="709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23AF" w14:textId="77777777" w:rsidR="006920FC" w:rsidRDefault="00FB1145">
      <w:r>
        <w:separator/>
      </w:r>
    </w:p>
  </w:endnote>
  <w:endnote w:type="continuationSeparator" w:id="0">
    <w:p w14:paraId="6D7F23B0" w14:textId="77777777" w:rsidR="006920FC" w:rsidRDefault="00F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F23B3" w14:textId="77777777" w:rsidR="006920FC" w:rsidRDefault="006920FC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F23B4" w14:textId="77777777" w:rsidR="006920FC" w:rsidRDefault="006920FC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F23B6" w14:textId="77777777" w:rsidR="006920FC" w:rsidRDefault="006920F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F23AD" w14:textId="77777777" w:rsidR="006920FC" w:rsidRDefault="00FB1145">
      <w:r>
        <w:separator/>
      </w:r>
    </w:p>
  </w:footnote>
  <w:footnote w:type="continuationSeparator" w:id="0">
    <w:p w14:paraId="6D7F23AE" w14:textId="77777777" w:rsidR="006920FC" w:rsidRDefault="00FB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F23B1" w14:textId="77777777" w:rsidR="006920FC" w:rsidRDefault="006920F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07155"/>
      <w:docPartObj>
        <w:docPartGallery w:val="Page Numbers (Top of Page)"/>
        <w:docPartUnique/>
      </w:docPartObj>
    </w:sdtPr>
    <w:sdtContent>
      <w:p w14:paraId="1F34A45F" w14:textId="2E2603D7" w:rsidR="00FB1145" w:rsidRDefault="00FB11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D7F23B2" w14:textId="77777777" w:rsidR="006920FC" w:rsidRDefault="006920F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F23B5" w14:textId="77777777" w:rsidR="006920FC" w:rsidRDefault="006920F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4A"/>
    <w:rsid w:val="00563C4A"/>
    <w:rsid w:val="006920FC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F2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114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B114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B1145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114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B114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B1145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93560F67ADF"/>
  <Relationship Id="rId11" Type="http://schemas.openxmlformats.org/officeDocument/2006/relationships/hyperlink" TargetMode="External" Target="https://www.e-tar.lt/portal/lt/legalAct/TAR.7B715225C9AC"/>
  <Relationship Id="rId12" Type="http://schemas.openxmlformats.org/officeDocument/2006/relationships/hyperlink" TargetMode="External" Target="https://www.e-tar.lt/portal/lt/legalAct/TAR.B7ADD8D250EE"/>
  <Relationship Id="rId13" Type="http://schemas.openxmlformats.org/officeDocument/2006/relationships/hyperlink" TargetMode="External" Target="https://www.e-tar.lt/portal/lt/legalAct/TAR.E1633499EE15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4F"/>
    <w:rsid w:val="00B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57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57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3192</Words>
  <Characters>1820</Characters>
  <Application>Microsoft Office Word</Application>
  <DocSecurity>0</DocSecurity>
  <Lines>15</Lines>
  <Paragraphs>10</Paragraphs>
  <ScaleCrop>false</ScaleCrop>
  <Company/>
  <LinksUpToDate>false</LinksUpToDate>
  <CharactersWithSpaces>5002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2015-06-16T18:48:00Z</dcterms:created>
  <dc:creator>Rima</dc:creator>
  <lastModifiedBy>TRAPINSKIENĖ Aušrinė</lastModifiedBy>
  <dcterms:modified xsi:type="dcterms:W3CDTF">2018-09-11T07:24:00Z</dcterms:modified>
  <revision>3</revision>
  <dc:title>LIETUVOS RESPUBLIKOS MOKESČIO UŽ VALSTYBINIUS GAMTOS IŠTEKLIUS ĮSTATYMO 6, 7 STRAIPSNIŲ IR 1, 2 PRIEDŲ PAKEITIMO IR PAPILDYMO ĮSTATYMAS</dc:title>
</coreProperties>
</file>