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CFF0" w14:textId="77777777" w:rsidR="004D2A45" w:rsidRDefault="00C07B0B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25F8D04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ŠVIETIMO IR MOKSLO MINISTRO</w:t>
      </w:r>
    </w:p>
    <w:p w14:paraId="25F8CFF1" w14:textId="77777777" w:rsidR="004D2A45" w:rsidRDefault="00C07B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25F8CFF2" w14:textId="77777777" w:rsidR="004D2A45" w:rsidRDefault="004D2A45">
      <w:pPr>
        <w:widowControl w:val="0"/>
        <w:suppressAutoHyphens/>
        <w:jc w:val="center"/>
        <w:rPr>
          <w:color w:val="000000"/>
        </w:rPr>
      </w:pPr>
    </w:p>
    <w:p w14:paraId="25F8CFF3" w14:textId="77777777" w:rsidR="004D2A45" w:rsidRDefault="00C07B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BENDROJO UGDYMO DALYKŲ VADOVĖLIŲ IR MOKYMO PRIEMONIŲ ATITIKTIES TEISĖS AKTAMS ĮVERTINIMO IR APRŪPINIMO JAIS TVARKOS APRAŠO PATVIRTINIMO</w:t>
      </w:r>
    </w:p>
    <w:p w14:paraId="25F8CFF4" w14:textId="77777777" w:rsidR="004D2A45" w:rsidRDefault="004D2A45">
      <w:pPr>
        <w:widowControl w:val="0"/>
        <w:suppressAutoHyphens/>
        <w:jc w:val="center"/>
        <w:rPr>
          <w:color w:val="000000"/>
        </w:rPr>
      </w:pPr>
    </w:p>
    <w:p w14:paraId="25F8CFF5" w14:textId="77777777" w:rsidR="004D2A45" w:rsidRDefault="00C07B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</w:t>
      </w:r>
      <w:r>
        <w:rPr>
          <w:color w:val="000000"/>
        </w:rPr>
        <w:t>čio 30 d. Nr. V-2310</w:t>
      </w:r>
    </w:p>
    <w:p w14:paraId="25F8CFF6" w14:textId="77777777" w:rsidR="004D2A45" w:rsidRDefault="00C07B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25F8CFF7" w14:textId="77777777" w:rsidR="004D2A45" w:rsidRDefault="004D2A45">
      <w:pPr>
        <w:widowControl w:val="0"/>
        <w:suppressAutoHyphens/>
        <w:ind w:firstLine="567"/>
        <w:jc w:val="both"/>
        <w:rPr>
          <w:color w:val="000000"/>
        </w:rPr>
      </w:pPr>
    </w:p>
    <w:p w14:paraId="25F8CFF8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švietimo įstatymo (Žin., 1991, Nr. </w:t>
      </w:r>
      <w:hyperlink r:id="rId10" w:tgtFrame="_blank" w:history="1">
        <w:r>
          <w:rPr>
            <w:color w:val="0000FF" w:themeColor="hyperlink"/>
            <w:u w:val="single"/>
          </w:rPr>
          <w:t>23-593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38-1804</w:t>
        </w:r>
      </w:hyperlink>
      <w:r>
        <w:rPr>
          <w:color w:val="000000"/>
        </w:rPr>
        <w:t>) 40 straipsnio 3 dalimi:</w:t>
      </w:r>
    </w:p>
    <w:p w14:paraId="25F8CFF9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T v i r t i n u Bendrojo ugdymo dalykų vadovėlių ir mokymo priemonių atitikties teisės aktams įvertinimo ir aprūpinimo jais tvarkos aprašą (pridedama).</w:t>
      </w:r>
    </w:p>
    <w:p w14:paraId="25F8CFFA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 a v e d u:</w:t>
      </w:r>
    </w:p>
    <w:p w14:paraId="25F8CFFB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Ugdymo plėtotės </w:t>
      </w:r>
      <w:r>
        <w:rPr>
          <w:color w:val="000000"/>
        </w:rPr>
        <w:t>centrui (direktorius Giedrius Vaidelis) organizuoti naujų vadovėlių ar vadovėlių komplektų vertinimą;</w:t>
      </w:r>
    </w:p>
    <w:p w14:paraId="25F8CFFC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Specialiosios pedagogikos ir psichologijos centrui (direktorė Irma Čižienė):</w:t>
      </w:r>
    </w:p>
    <w:p w14:paraId="25F8CFFD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2.2.1</w:t>
      </w:r>
      <w:r>
        <w:rPr>
          <w:color w:val="000000"/>
        </w:rPr>
        <w:t>. organizuoti pritaikytų vadovėlių ir specialiųjų mokymo prie</w:t>
      </w:r>
      <w:r>
        <w:rPr>
          <w:color w:val="000000"/>
        </w:rPr>
        <w:t>monių vertinimą:</w:t>
      </w:r>
    </w:p>
    <w:p w14:paraId="25F8CFFE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2.2.2</w:t>
      </w:r>
      <w:r>
        <w:rPr>
          <w:color w:val="000000"/>
        </w:rPr>
        <w:t>. nustatyti pritaikytų vadovėlių poreikį.</w:t>
      </w:r>
    </w:p>
    <w:p w14:paraId="25F8CFFF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Švietimo aprūpinimo centrui (direktorius Tautvydas Salys):</w:t>
      </w:r>
    </w:p>
    <w:p w14:paraId="25F8D000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2.3.1</w:t>
      </w:r>
      <w:r>
        <w:rPr>
          <w:color w:val="000000"/>
        </w:rPr>
        <w:t>. patvirtinti per dvi savaites nuo šio įsakymo įsigaliojimo dienos Bendrojo ugdymo dalykų vadovėlių duomenų baz</w:t>
      </w:r>
      <w:r>
        <w:rPr>
          <w:color w:val="000000"/>
        </w:rPr>
        <w:t>ės pildymo tvarkos aprašą;</w:t>
      </w:r>
    </w:p>
    <w:p w14:paraId="25F8D001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2.3.2</w:t>
      </w:r>
      <w:r>
        <w:rPr>
          <w:color w:val="000000"/>
        </w:rPr>
        <w:t>. nustatyti vadovėlių užsienio lietuvių ir Europos mokyklų mokiniams poreikį;</w:t>
      </w:r>
    </w:p>
    <w:p w14:paraId="25F8D002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2.3.3</w:t>
      </w:r>
      <w:r>
        <w:rPr>
          <w:color w:val="000000"/>
        </w:rPr>
        <w:t xml:space="preserve">. vykdyti centralizuotą vadovėlių užsienio lietuvių ir Europos mokyklų mokiniams ir vadovėlių pritaikymo specialiųjų ugdymosi </w:t>
      </w:r>
      <w:r>
        <w:rPr>
          <w:color w:val="000000"/>
        </w:rPr>
        <w:t>poreikių turintiems mokiniams pirkimą.</w:t>
      </w:r>
    </w:p>
    <w:p w14:paraId="25F8D003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 r i p a ž į s t u netekusiais galios:</w:t>
      </w:r>
    </w:p>
    <w:p w14:paraId="25F8D004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Lietuvos Respublikos švietimo ir mokslo ministro 2009 m. gegužės 19 d. įsakymą Nr. ISAK-1051 „Dėl Mokyklų aprūpinimo bendrojo lavinimo dalykų vadovėliais ir mo</w:t>
      </w:r>
      <w:r>
        <w:rPr>
          <w:color w:val="000000"/>
        </w:rPr>
        <w:t xml:space="preserve">kymo priemonėmis tvarkos aprašo patvirtinimo (Žin., 2009, Nr. </w:t>
      </w:r>
      <w:hyperlink r:id="rId12" w:tgtFrame="_blank" w:history="1">
        <w:r>
          <w:rPr>
            <w:color w:val="0000FF" w:themeColor="hyperlink"/>
            <w:u w:val="single"/>
          </w:rPr>
          <w:t>61-2450</w:t>
        </w:r>
      </w:hyperlink>
      <w:r>
        <w:rPr>
          <w:color w:val="000000"/>
        </w:rPr>
        <w:t>);</w:t>
      </w:r>
    </w:p>
    <w:p w14:paraId="25F8D005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Lietuvos Respublikos švietimo ir mokslo ministro 2011 m. sausio 12 d. įsakymą Nr. V-97 „Dėl švie</w:t>
      </w:r>
      <w:r>
        <w:rPr>
          <w:color w:val="000000"/>
        </w:rPr>
        <w:t xml:space="preserve">timo ir mokslo ministro 2009 m. gegužės 19 d. įsakymo Nr. ISAK-1051 „Dėl Mokyklų aprūpinimo bendrojo lavinimo dalykų vadovėliais ir mokymo priemonėmis tvarkos aprašo patvirtinimo“ pakeitimo“ (Žin., 2011, Nr. </w:t>
      </w:r>
      <w:hyperlink r:id="rId13" w:tgtFrame="_blank" w:history="1">
        <w:r>
          <w:rPr>
            <w:color w:val="0000FF" w:themeColor="hyperlink"/>
            <w:u w:val="single"/>
          </w:rPr>
          <w:t>9-398</w:t>
        </w:r>
      </w:hyperlink>
      <w:r>
        <w:rPr>
          <w:color w:val="000000"/>
        </w:rPr>
        <w:t>);</w:t>
      </w:r>
    </w:p>
    <w:p w14:paraId="25F8D007" w14:textId="7F6D9B0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 xml:space="preserve">. Lietuvos Respublikos švietimo ir mokslo ministro 2003 m. spalio 15 d. įsakymą Nr. ISAK-1434 „Dėl priešmokyklinio ugdymo priemonės sampratos“ (Žin., 2003, Nr. </w:t>
      </w:r>
      <w:hyperlink r:id="rId14" w:tgtFrame="_blank" w:history="1">
        <w:r>
          <w:rPr>
            <w:color w:val="0000FF" w:themeColor="hyperlink"/>
            <w:u w:val="single"/>
          </w:rPr>
          <w:t>101–4566</w:t>
        </w:r>
      </w:hyperlink>
      <w:r>
        <w:rPr>
          <w:color w:val="000000"/>
        </w:rPr>
        <w:t>).</w:t>
      </w:r>
    </w:p>
    <w:p w14:paraId="2AE157DA" w14:textId="1C22453B" w:rsidR="00C07B0B" w:rsidRDefault="00C07B0B">
      <w:pPr>
        <w:widowControl w:val="0"/>
        <w:tabs>
          <w:tab w:val="right" w:pos="9071"/>
        </w:tabs>
        <w:suppressAutoHyphens/>
      </w:pPr>
    </w:p>
    <w:p w14:paraId="29B7F666" w14:textId="77777777" w:rsidR="00C07B0B" w:rsidRDefault="00C07B0B">
      <w:pPr>
        <w:widowControl w:val="0"/>
        <w:tabs>
          <w:tab w:val="right" w:pos="9071"/>
        </w:tabs>
        <w:suppressAutoHyphens/>
      </w:pPr>
    </w:p>
    <w:p w14:paraId="11745DAE" w14:textId="77777777" w:rsidR="00C07B0B" w:rsidRDefault="00C07B0B">
      <w:pPr>
        <w:widowControl w:val="0"/>
        <w:tabs>
          <w:tab w:val="right" w:pos="9071"/>
        </w:tabs>
        <w:suppressAutoHyphens/>
      </w:pPr>
    </w:p>
    <w:p w14:paraId="25F8D00B" w14:textId="004F79CA" w:rsidR="004D2A45" w:rsidRDefault="00C07B0B" w:rsidP="00C07B0B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>Švietimo ir mokslo ministras</w:t>
      </w:r>
      <w:r>
        <w:rPr>
          <w:caps/>
          <w:color w:val="000000"/>
        </w:rPr>
        <w:tab/>
        <w:t>Gintaras Steponavičius</w:t>
      </w:r>
    </w:p>
    <w:p w14:paraId="486E69F2" w14:textId="77777777" w:rsidR="00C07B0B" w:rsidRDefault="00C07B0B">
      <w:pPr>
        <w:widowControl w:val="0"/>
        <w:suppressAutoHyphens/>
        <w:ind w:left="4535"/>
        <w:sectPr w:rsidR="00C07B0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134" w:bottom="1134" w:left="1701" w:header="567" w:footer="284" w:gutter="0"/>
          <w:cols w:space="1296"/>
          <w:docGrid w:linePitch="360"/>
        </w:sectPr>
      </w:pPr>
    </w:p>
    <w:p w14:paraId="25F8D00C" w14:textId="4EE33411" w:rsidR="004D2A45" w:rsidRDefault="00C07B0B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lastRenderedPageBreak/>
        <w:t xml:space="preserve">PATVIRTINTA </w:t>
      </w:r>
    </w:p>
    <w:p w14:paraId="25F8D00D" w14:textId="77777777" w:rsidR="004D2A45" w:rsidRDefault="00C07B0B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Lietuvos Respublikos </w:t>
      </w:r>
    </w:p>
    <w:p w14:paraId="25F8D00E" w14:textId="77777777" w:rsidR="004D2A45" w:rsidRDefault="00C07B0B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 xml:space="preserve">švietimo ir mokslo ministro </w:t>
      </w:r>
    </w:p>
    <w:p w14:paraId="25F8D00F" w14:textId="77777777" w:rsidR="004D2A45" w:rsidRDefault="00C07B0B">
      <w:pPr>
        <w:widowControl w:val="0"/>
        <w:suppressAutoHyphens/>
        <w:ind w:left="4535"/>
        <w:rPr>
          <w:color w:val="000000"/>
        </w:rPr>
      </w:pPr>
      <w:r>
        <w:rPr>
          <w:color w:val="000000"/>
        </w:rPr>
        <w:t>2011 m. lapkričio 30 d. įsakymu Nr. V-2310</w:t>
      </w:r>
    </w:p>
    <w:p w14:paraId="25F8D010" w14:textId="77777777" w:rsidR="004D2A45" w:rsidRDefault="004D2A45">
      <w:pPr>
        <w:widowControl w:val="0"/>
        <w:suppressAutoHyphens/>
        <w:jc w:val="center"/>
        <w:rPr>
          <w:color w:val="000000"/>
        </w:rPr>
      </w:pPr>
    </w:p>
    <w:p w14:paraId="25F8D011" w14:textId="77777777" w:rsidR="004D2A45" w:rsidRDefault="00C07B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BENDROJO UGDYMO DALYKŲ </w:t>
      </w:r>
      <w:r>
        <w:rPr>
          <w:b/>
          <w:bCs/>
          <w:caps/>
          <w:color w:val="000000"/>
        </w:rPr>
        <w:t>VADOVĖLIŲ IR MOKYMO PRIEMONIŲ ATITIKTIES TEISĖS AKTAMS ĮVERTINIMO IR APRŪPINIMO JAIS TVARKOS APRAŠAS</w:t>
      </w:r>
    </w:p>
    <w:p w14:paraId="25F8D012" w14:textId="77777777" w:rsidR="004D2A45" w:rsidRDefault="004D2A45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25F8D013" w14:textId="77777777" w:rsidR="004D2A45" w:rsidRDefault="00C07B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BENDROSIOS NUOSTATOS</w:t>
      </w:r>
    </w:p>
    <w:p w14:paraId="25F8D014" w14:textId="77777777" w:rsidR="004D2A45" w:rsidRDefault="004D2A45">
      <w:pPr>
        <w:widowControl w:val="0"/>
        <w:suppressAutoHyphens/>
        <w:jc w:val="center"/>
        <w:rPr>
          <w:b/>
          <w:bCs/>
          <w:caps/>
          <w:color w:val="000000"/>
        </w:rPr>
      </w:pPr>
    </w:p>
    <w:p w14:paraId="25F8D015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Bendrojo ugdymo dalykų vadovėlių ir mokymo priemonių atitikties teisės aktams įvertinimo ir aprūpinimo jais tvarkos ap</w:t>
      </w:r>
      <w:r>
        <w:rPr>
          <w:color w:val="000000"/>
        </w:rPr>
        <w:t>rašas (toliau – tvarkos aprašas) nustato vadovėlių ir kitų mokymo priemonių vertinimą ir aprūpinimą vadovėliais ir mokymo priemonėmis.</w:t>
      </w:r>
    </w:p>
    <w:p w14:paraId="25F8D016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Tvarkos apraše vartojamos sąvokos:</w:t>
      </w:r>
    </w:p>
    <w:p w14:paraId="25F8D017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Bendrojo ugdymo dalyko vadovėlis – vadovėlis, skirtas konkrečiam ugdymo </w:t>
      </w:r>
      <w:r>
        <w:rPr>
          <w:color w:val="000000"/>
        </w:rPr>
        <w:t>tarpsniui arba klasei, ugdymo sričiai, integruotam kursui, dalykui arba moduliui.</w:t>
      </w:r>
    </w:p>
    <w:p w14:paraId="25F8D018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Mokymo priemonės </w:t>
      </w:r>
      <w:r>
        <w:rPr>
          <w:color w:val="000000"/>
        </w:rPr>
        <w:t>– tiesiogiai mokymui(si) ir ugdymui(si) reikalingos spausdintos ar skaitmeninės priemonės, daiktai, medžiagos ir įranga, mokinio darbo vietai įrengti bei mok</w:t>
      </w:r>
      <w:r>
        <w:rPr>
          <w:color w:val="000000"/>
        </w:rPr>
        <w:t>ymo priemonėms laikyti reikalingi baldai ir laboratoriniai baldai.</w:t>
      </w:r>
    </w:p>
    <w:p w14:paraId="25F8D019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Naujas vadovėlis (naujas vadovėlio komplektas) </w:t>
      </w:r>
      <w:r>
        <w:rPr>
          <w:color w:val="000000"/>
        </w:rPr>
        <w:t>– pirmą kartą leidžiamas vadovėlis (vadovėlio komplektas) arba vadovėlis (vadovėlio komplektas), kurio turinys atnaujintas daugiau nei 30 proc</w:t>
      </w:r>
      <w:r>
        <w:rPr>
          <w:color w:val="000000"/>
        </w:rPr>
        <w:t>.</w:t>
      </w:r>
    </w:p>
    <w:p w14:paraId="25F8D01A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Pataisytas vadovėlis (pataisytas vadovėlio komplektas) </w:t>
      </w:r>
      <w:r>
        <w:rPr>
          <w:color w:val="000000"/>
        </w:rPr>
        <w:t>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vadovėlis (vadovėlio komplektas), kurio medžiaga pakeista arba papildyta naujais (tekstiniais ar vaizdiniais) elementais mažiau kaip 30 proc.</w:t>
      </w:r>
    </w:p>
    <w:p w14:paraId="25F8D01B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Vadovėlis</w:t>
      </w:r>
      <w:r>
        <w:rPr>
          <w:color w:val="000000"/>
        </w:rPr>
        <w:t xml:space="preserve"> – mokiniui skirta daugkartinio naudojimo moky</w:t>
      </w:r>
      <w:r>
        <w:rPr>
          <w:color w:val="000000"/>
        </w:rPr>
        <w:t>mo priemonė, turinti metodinę sąrangą.</w:t>
      </w:r>
    </w:p>
    <w:p w14:paraId="25F8D01C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Vadovėlio komplektas</w:t>
      </w:r>
      <w:r>
        <w:rPr>
          <w:color w:val="000000"/>
        </w:rPr>
        <w:t xml:space="preserve"> – vadovėlis, mokytojo knyga ir vadovėlį papildančios mokymo priemonės, kurias sieja bendra sudarymo idėja, turinys ir metodinė struktūra.</w:t>
      </w:r>
    </w:p>
    <w:p w14:paraId="25F8D01D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Vadovėlio (vadovėlio komplekto) rankraštis </w:t>
      </w:r>
      <w:r>
        <w:rPr>
          <w:color w:val="000000"/>
        </w:rPr>
        <w:t>– visas vadovėl</w:t>
      </w:r>
      <w:r>
        <w:rPr>
          <w:color w:val="000000"/>
        </w:rPr>
        <w:t>io (vadovėlio komplekto) tekstas su iliustracijomis ar parengtas vadovėlio maketas.</w:t>
      </w:r>
    </w:p>
    <w:p w14:paraId="25F8D01E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Kitos tvarkos apraše vartojamos sąvokos atitinka Lietuvos Respublikos švietimo įstatyme (Žin., 1991, Nr. </w:t>
      </w:r>
      <w:hyperlink r:id="rId21" w:tgtFrame="_blank" w:history="1">
        <w:r>
          <w:rPr>
            <w:color w:val="0000FF" w:themeColor="hyperlink"/>
            <w:u w:val="single"/>
          </w:rPr>
          <w:t>23-593</w:t>
        </w:r>
      </w:hyperlink>
      <w:r>
        <w:rPr>
          <w:color w:val="000000"/>
        </w:rPr>
        <w:t xml:space="preserve">; 2011, Nr. </w:t>
      </w:r>
      <w:hyperlink r:id="rId22" w:tgtFrame="_blank" w:history="1">
        <w:r>
          <w:rPr>
            <w:color w:val="0000FF" w:themeColor="hyperlink"/>
            <w:u w:val="single"/>
          </w:rPr>
          <w:t>38-1804</w:t>
        </w:r>
      </w:hyperlink>
      <w:r>
        <w:rPr>
          <w:color w:val="000000"/>
        </w:rPr>
        <w:t>) ir kituose teisės aktuose vartojamas sąvokas.</w:t>
      </w:r>
    </w:p>
    <w:p w14:paraId="25F8D01F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</w:p>
    <w:p w14:paraId="25F8D020" w14:textId="77777777" w:rsidR="004D2A45" w:rsidRDefault="00C07B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BENDROJO UGDYMO DALYKŲ VADOVĖLIŲ IR KITŲ MOKYMO PRIEMONIŲ VERTINIMAS</w:t>
      </w:r>
    </w:p>
    <w:p w14:paraId="25F8D021" w14:textId="77777777" w:rsidR="004D2A45" w:rsidRDefault="004D2A45">
      <w:pPr>
        <w:widowControl w:val="0"/>
        <w:suppressAutoHyphens/>
        <w:ind w:firstLine="567"/>
        <w:jc w:val="both"/>
        <w:rPr>
          <w:color w:val="000000"/>
        </w:rPr>
      </w:pPr>
    </w:p>
    <w:p w14:paraId="25F8D022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 xml:space="preserve">Naujas vadovėlis, vadovėlis, skirtas specialiųjų ugdymosi poreikių turintiems mokiniams (toliau – pritaikytas vadovėlis) ar vadovėlio komplektas ir specialiosios mokymo priemonės vertinami siekiant nustatyti jų tinkamumą naudoti ugdymo procese ir suteikti </w:t>
      </w:r>
      <w:r>
        <w:rPr>
          <w:color w:val="000000"/>
        </w:rPr>
        <w:t>švietimo bendruomenei išsamią informaciją apie vadovėlius ir specialiąsias mokymo priemones.</w:t>
      </w:r>
    </w:p>
    <w:p w14:paraId="25F8D023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Naujo vadovėlio ar vadovėlio komplekto vertinimą organizuoja atsakinga už vadovėlių vertinimą institucija, ji, suderinusi su Švietimo ir mokslo ministerija:</w:t>
      </w:r>
    </w:p>
    <w:p w14:paraId="25F8D024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nustato vadovėliui ir vadovėlio komplektui keliamus reikalavimus (išskyrus atitiktį higienos normoms), vertinimo procedūras ir kriterijus, pagal kuriuos vadovėlis ir vadovėlio komplektas yra vertinami;</w:t>
      </w:r>
    </w:p>
    <w:p w14:paraId="25F8D025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organizuoja vertinimo paslaugų pirkim</w:t>
      </w:r>
      <w:r>
        <w:rPr>
          <w:color w:val="000000"/>
        </w:rPr>
        <w:t xml:space="preserve">ą ir specialistų, vertinančių vadovėlius ar vadovėlių komplektus (toliau – vertintojai), mokymus, vadovėlio ar vadovėlio komplekto rengimo metu konsultuoja su vadovėlių ir kitų mokymo priemonių rengimu, leidyba ir </w:t>
      </w:r>
      <w:r>
        <w:rPr>
          <w:color w:val="000000"/>
        </w:rPr>
        <w:lastRenderedPageBreak/>
        <w:t>platinimu susijusius fizinius ar juridiniu</w:t>
      </w:r>
      <w:r>
        <w:rPr>
          <w:color w:val="000000"/>
        </w:rPr>
        <w:t>s asmenis (toliau – teikėjai).</w:t>
      </w:r>
    </w:p>
    <w:p w14:paraId="25F8D026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Pritaikytų vadovėlių ir specialiųjų mokymo priemonių vertinimą organizuoja atsakinga už pritaikytų vadovėlių ir specialiųjų mokymo priemonių vertinimą institucija, ji, suderinusi su Švietimo ir mokslo ministerija:</w:t>
      </w:r>
    </w:p>
    <w:p w14:paraId="25F8D027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>1</w:t>
      </w:r>
      <w:r>
        <w:rPr>
          <w:color w:val="000000"/>
        </w:rPr>
        <w:t>. nustato pritaikytam vadovėliui ir specialiajai mokymo priemonei keliamus reikalavimus (išskyrus atitiktį higienos normoms), vertinimo procedūras ir kriterijus, pagal kuriuos pritaikytas vadovėlis ir specialioji mokymo priemonė yra vertinami;</w:t>
      </w:r>
    </w:p>
    <w:p w14:paraId="25F8D028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5.2</w:t>
      </w:r>
      <w:r>
        <w:rPr>
          <w:color w:val="000000"/>
        </w:rPr>
        <w:t xml:space="preserve">. </w:t>
      </w:r>
      <w:r>
        <w:rPr>
          <w:color w:val="000000"/>
        </w:rPr>
        <w:t>organizuoja vertinimo paslaugų pirkimą ir vertintojų mokymus, pritaikyto vadovėlio, specialiųjų mokymo priemonių rengimo metu konsultuoja teikėjus.</w:t>
      </w:r>
    </w:p>
    <w:p w14:paraId="25F8D029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Tvarkos aprašo 4 ir 5 punktuose nurodytos institucijos užtikrina, kad vertintojai objektyviai, daly</w:t>
      </w:r>
      <w:r>
        <w:rPr>
          <w:color w:val="000000"/>
        </w:rPr>
        <w:t>kiškai, be išankstinio nusistatymo, vadovaudamiesi visų teikėjų lygiateisiškumo principu, atliktų savo pareigas ir būtų nešališki teikėjams.</w:t>
      </w:r>
    </w:p>
    <w:p w14:paraId="25F8D02A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Už įvertinto vadovėlio vertimo į kitas kalbas (mokykloms tautinių mažumų kalba) tikslumą ir kalbos kokybę at</w:t>
      </w:r>
      <w:r>
        <w:rPr>
          <w:color w:val="000000"/>
        </w:rPr>
        <w:t>sako teikėjas.</w:t>
      </w:r>
    </w:p>
    <w:p w14:paraId="25F8D02B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Už pataisyto vadovėlio kokybę atsako teikėjas.</w:t>
      </w:r>
    </w:p>
    <w:p w14:paraId="25F8D02C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Už užsienyje išleisto vadovėlio užsienio kalbai mokytis kokybę ir vertinimą atsako teikėjas.</w:t>
      </w:r>
    </w:p>
    <w:p w14:paraId="25F8D02D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Informacija apie vadovėlius ar vadovėlių komplektus teikiama Bendrojo ugdymo da</w:t>
      </w:r>
      <w:r>
        <w:rPr>
          <w:color w:val="000000"/>
        </w:rPr>
        <w:t>lykų vadovėlių duomenų bazėje,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kurioje kaupiama informacija apie įvertintus vadovėlius ar vadovėlių komplektus, institucijos, atsakingos už Bendrojo ugdymo dalykų vadovėlių duomenų bazės tvarkymą, nustatyta tvarka.</w:t>
      </w:r>
    </w:p>
    <w:p w14:paraId="25F8D02E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Vadovėlio, užsienyje išleisto vad</w:t>
      </w:r>
      <w:r>
        <w:rPr>
          <w:color w:val="000000"/>
        </w:rPr>
        <w:t>ovėlio užsienio kalbai mokytis, mokymo priemonių turinys turi atitikti pagrindines demokratinės visuomenės vertybes, neprieštarauti Lietuvos Respublikos teisės aktams, būti nešališkas lyties, amžiaus, negalios, gebėjimų, socialinės padėties, rasės, tautybė</w:t>
      </w:r>
      <w:r>
        <w:rPr>
          <w:color w:val="000000"/>
        </w:rPr>
        <w:t>s, etninės priklausomybės, kilmės, kalbos, religijos, tikėjimo, lytinės orientacijos, įsitikinimų ar pažiūrų atžvilgiu.</w:t>
      </w:r>
    </w:p>
    <w:p w14:paraId="25F8D02F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Teikėjas vadovėlio antraštinio lapo antroje pusėje įrašo:</w:t>
      </w:r>
    </w:p>
    <w:p w14:paraId="25F8D030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12.1</w:t>
      </w:r>
      <w:r>
        <w:rPr>
          <w:color w:val="000000"/>
        </w:rPr>
        <w:t>. dalyką (ugdymo sritį, integruotą kursą, modulį), ugdymo tarpsn</w:t>
      </w:r>
      <w:r>
        <w:rPr>
          <w:color w:val="000000"/>
        </w:rPr>
        <w:t>į, klasę. Užsienio kalbos vadovėliuose nurodomi mokymo metai, lygis;</w:t>
      </w:r>
    </w:p>
    <w:p w14:paraId="25F8D031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12.2</w:t>
      </w:r>
      <w:r>
        <w:rPr>
          <w:color w:val="000000"/>
        </w:rPr>
        <w:t>. ar vadovėlis pritaikytas mokiniams, turintiems specialiųjų ugdymosi poreikių, asmens, dalyvavusio vadovėlį pritaikant, vardą ir pavardę;</w:t>
      </w:r>
    </w:p>
    <w:p w14:paraId="25F8D032" w14:textId="77777777" w:rsidR="004D2A45" w:rsidRDefault="00C07B0B"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12.3</w:t>
      </w:r>
      <w:r>
        <w:rPr>
          <w:color w:val="000000"/>
        </w:rPr>
        <w:t>. Valstybinės lietuvių kalbos ko</w:t>
      </w:r>
      <w:r>
        <w:rPr>
          <w:color w:val="000000"/>
        </w:rPr>
        <w:t>misijos sprendimą dėl vadovėlio kalbos atitikties kalbos taisyklingumo reikalavimams</w:t>
      </w:r>
      <w:r>
        <w:rPr>
          <w:b/>
          <w:bCs/>
          <w:color w:val="000000"/>
        </w:rPr>
        <w:t>.</w:t>
      </w:r>
    </w:p>
    <w:p w14:paraId="25F8D033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</w:p>
    <w:p w14:paraId="25F8D034" w14:textId="77777777" w:rsidR="004D2A45" w:rsidRDefault="00C07B0B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III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APRŪPINIMAS BENDROJO UGDYMO DALYKŲ VADOVĖLIAIS IR KITOMIS MOKYMO PRIEMONĖMIS</w:t>
      </w:r>
    </w:p>
    <w:p w14:paraId="25F8D035" w14:textId="77777777" w:rsidR="004D2A45" w:rsidRDefault="004D2A45">
      <w:pPr>
        <w:widowControl w:val="0"/>
        <w:suppressAutoHyphens/>
        <w:ind w:firstLine="567"/>
        <w:jc w:val="both"/>
        <w:rPr>
          <w:color w:val="000000"/>
        </w:rPr>
      </w:pPr>
    </w:p>
    <w:p w14:paraId="25F8D036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Vadovėlių, tarptautinio bakalaureato vadovėlių, skirtų pagal tarptauti</w:t>
      </w:r>
      <w:r>
        <w:rPr>
          <w:color w:val="000000"/>
        </w:rPr>
        <w:t>nio bakalaureato programą besimokančiam mokiniui, priešmokykliniam ugdymui skirtų ir kitų mokymo priemonių galima įsigyti už mokinio krepšelio lėšas, skirtas vadovėliams ir mokymo priemonėms.</w:t>
      </w:r>
    </w:p>
    <w:p w14:paraId="25F8D037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Mokyklos vadovas, suderinęs su mokyklos taryba, priima s</w:t>
      </w:r>
      <w:r>
        <w:rPr>
          <w:color w:val="000000"/>
        </w:rPr>
        <w:t>prendimus dėl vadovėlių ir kitų mokymo priemonių įsigijimo.</w:t>
      </w:r>
    </w:p>
    <w:p w14:paraId="25F8D038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Mokyklos, vykdančios bendrojo ugdymo programas, savininko teises ir pareigas įgyvendinanti institucija (dalyvių susirinkimas), savininkas priima sprendimus dėl turimų vadovėlių perskirstym</w:t>
      </w:r>
      <w:r>
        <w:rPr>
          <w:color w:val="000000"/>
        </w:rPr>
        <w:t>o tarp pavaldžių mokyklų.</w:t>
      </w:r>
    </w:p>
    <w:p w14:paraId="25F8D039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16</w:t>
      </w:r>
      <w:r>
        <w:rPr>
          <w:color w:val="000000"/>
        </w:rPr>
        <w:t>. Įstaigos, vykdančios ikimokyklinio ugdymo programą, už mokinio krepšelio lėšas perka priemonių, kurios ikimokyklinio ugdymo programoje numatytos kaip ugdymo turiniui įgyvendinti reikalingos priemonės.</w:t>
      </w:r>
    </w:p>
    <w:p w14:paraId="25F8D03A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17</w:t>
      </w:r>
      <w:r>
        <w:rPr>
          <w:color w:val="000000"/>
        </w:rPr>
        <w:t xml:space="preserve">. Be mokinio </w:t>
      </w:r>
      <w:r>
        <w:rPr>
          <w:color w:val="000000"/>
        </w:rPr>
        <w:t>krepšelio lėšų, vadovėliams ir kitoms mokymo priemonėms įsigyti taip pat gali būti skiriama lėšų iš savivaldybės ir valstybės biudžetų.</w:t>
      </w:r>
    </w:p>
    <w:p w14:paraId="25F8D03B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18</w:t>
      </w:r>
      <w:r>
        <w:rPr>
          <w:color w:val="000000"/>
        </w:rPr>
        <w:t xml:space="preserve">. Lėšų užsienio lietuvių ir Europos mokyklų mokiniams reikalingiems vadovėliams </w:t>
      </w:r>
      <w:r>
        <w:rPr>
          <w:color w:val="000000"/>
        </w:rPr>
        <w:lastRenderedPageBreak/>
        <w:t>įsigyti, vadovėliams Brailio raštu</w:t>
      </w:r>
      <w:r>
        <w:rPr>
          <w:color w:val="000000"/>
        </w:rPr>
        <w:t xml:space="preserve"> leisti ir vadovėliams pritaikyti mokiniams, turintiems specialiųjų ugdymosi poreikių, skiria Švietimo ir mokslo ministerija teisės aktų nustatyta tvarka.</w:t>
      </w:r>
    </w:p>
    <w:p w14:paraId="25F8D03C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19</w:t>
      </w:r>
      <w:r>
        <w:rPr>
          <w:color w:val="000000"/>
        </w:rPr>
        <w:t xml:space="preserve">. Mokyklos taip pat gali būti aprūpinamos vadovėliais ir kitomis mokymo priemonėmis </w:t>
      </w:r>
      <w:r>
        <w:rPr>
          <w:color w:val="000000"/>
        </w:rPr>
        <w:t>centralizuotai už valstybės biudžeto lėšas teisės aktų nustatyta tvarka.</w:t>
      </w:r>
    </w:p>
    <w:p w14:paraId="25F8D03D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20</w:t>
      </w:r>
      <w:r>
        <w:rPr>
          <w:color w:val="000000"/>
        </w:rPr>
        <w:t xml:space="preserve">. Vadovėlių užsienio lietuvių ir Europos mokyklų mokiniams poreikį nustato, centralizuotą vadovėlių užsienio lietuvių ir Europos mokyklų mokiniams pirkimą, vadovėlių pritaikymo </w:t>
      </w:r>
      <w:r>
        <w:rPr>
          <w:color w:val="000000"/>
        </w:rPr>
        <w:t>specialiųjų ugdymosi poreikių turintiems mokiniams pirkimą vykdo Švietimo ir mokslo ministerijai pavaldžios institucijos.</w:t>
      </w:r>
    </w:p>
    <w:p w14:paraId="25F8D03E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>. Pritaikytų vadovėlių poreikį nustato ir siūlymus Švietimo ir mokslo ministerijai teikia institucija, atsakinga už pritaikytų v</w:t>
      </w:r>
      <w:r>
        <w:rPr>
          <w:color w:val="000000"/>
        </w:rPr>
        <w:t>adovėlių ir specialiųjų mokymo priemonių vertinimą.</w:t>
      </w:r>
    </w:p>
    <w:p w14:paraId="25F8D03F" w14:textId="77777777" w:rsidR="004D2A45" w:rsidRDefault="00C07B0B">
      <w:pPr>
        <w:widowControl w:val="0"/>
        <w:suppressAutoHyphens/>
        <w:ind w:firstLine="567"/>
        <w:jc w:val="both"/>
        <w:rPr>
          <w:color w:val="000000"/>
        </w:rPr>
      </w:pPr>
    </w:p>
    <w:bookmarkStart w:id="0" w:name="_GoBack" w:displacedByCustomXml="prev"/>
    <w:p w14:paraId="25F8D040" w14:textId="77777777" w:rsidR="004D2A45" w:rsidRDefault="00C07B0B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25F8D041" w14:textId="77777777" w:rsidR="004D2A45" w:rsidRDefault="00C07B0B"/>
    <w:bookmarkEnd w:id="0" w:displacedByCustomXml="next"/>
    <w:sectPr w:rsidR="004D2A45" w:rsidSect="00C07B0B">
      <w:pgSz w:w="11907" w:h="16840" w:code="9"/>
      <w:pgMar w:top="1134" w:right="1134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D045" w14:textId="77777777" w:rsidR="004D2A45" w:rsidRDefault="00C07B0B">
      <w:r>
        <w:separator/>
      </w:r>
    </w:p>
  </w:endnote>
  <w:endnote w:type="continuationSeparator" w:id="0">
    <w:p w14:paraId="25F8D046" w14:textId="77777777" w:rsidR="004D2A45" w:rsidRDefault="00C0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049" w14:textId="77777777" w:rsidR="004D2A45" w:rsidRDefault="004D2A4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04A" w14:textId="77777777" w:rsidR="004D2A45" w:rsidRDefault="004D2A45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04C" w14:textId="77777777" w:rsidR="004D2A45" w:rsidRDefault="004D2A4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D043" w14:textId="77777777" w:rsidR="004D2A45" w:rsidRDefault="00C07B0B">
      <w:r>
        <w:separator/>
      </w:r>
    </w:p>
  </w:footnote>
  <w:footnote w:type="continuationSeparator" w:id="0">
    <w:p w14:paraId="25F8D044" w14:textId="77777777" w:rsidR="004D2A45" w:rsidRDefault="00C0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14726"/>
      <w:docPartObj>
        <w:docPartGallery w:val="Page Numbers (Top of Page)"/>
        <w:docPartUnique/>
      </w:docPartObj>
    </w:sdtPr>
    <w:sdtContent>
      <w:p w14:paraId="260B0CF6" w14:textId="5256294B" w:rsidR="00C07B0B" w:rsidRDefault="00C07B0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F8D047" w14:textId="77777777" w:rsidR="004D2A45" w:rsidRDefault="004D2A4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048" w14:textId="77777777" w:rsidR="004D2A45" w:rsidRDefault="004D2A4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D04B" w14:textId="77777777" w:rsidR="004D2A45" w:rsidRDefault="004D2A4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C"/>
    <w:rsid w:val="004D2A45"/>
    <w:rsid w:val="0064610C"/>
    <w:rsid w:val="00C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8C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7B0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07B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7B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7B0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07B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07B0B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9A3AD08EA5D0"/>
  <Relationship Id="rId11" Type="http://schemas.openxmlformats.org/officeDocument/2006/relationships/hyperlink" TargetMode="External" Target="https://www.e-tar.lt/portal/lt/legalAct/TAR.E2EBE95E7723"/>
  <Relationship Id="rId12" Type="http://schemas.openxmlformats.org/officeDocument/2006/relationships/hyperlink" TargetMode="External" Target="https://www.e-tar.lt/portal/lt/legalAct/TAR.24E329C93DB3"/>
  <Relationship Id="rId13" Type="http://schemas.openxmlformats.org/officeDocument/2006/relationships/hyperlink" TargetMode="External" Target="https://www.e-tar.lt/portal/lt/legalAct/TAR.D7A78D64C5EC"/>
  <Relationship Id="rId14" Type="http://schemas.openxmlformats.org/officeDocument/2006/relationships/hyperlink" TargetMode="External" Target="https://www.e-tar.lt/portal/lt/legalAct/TAR.73EAB9DC0D44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hyperlink" TargetMode="External" Target="https://www.e-tar.lt/portal/lt/legalAct/TAR.9A3AD08EA5D0"/>
  <Relationship Id="rId22" Type="http://schemas.openxmlformats.org/officeDocument/2006/relationships/hyperlink" TargetMode="External" Target="https://www.e-tar.lt/portal/lt/legalAct/TAR.E2EBE95E7723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6E"/>
    <w:rsid w:val="004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5F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05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6518</Words>
  <Characters>3716</Characters>
  <Application>Microsoft Office Word</Application>
  <DocSecurity>0</DocSecurity>
  <Lines>30</Lines>
  <Paragraphs>20</Paragraphs>
  <ScaleCrop>false</ScaleCrop>
  <Company/>
  <LinksUpToDate>false</LinksUpToDate>
  <CharactersWithSpaces>10214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2015-09-22T16:28:00Z</dcterms:created>
  <dc:creator>Rima</dc:creator>
  <lastModifiedBy>TAMALIŪNIENĖ Vilija</lastModifiedBy>
  <dcterms:modified xsi:type="dcterms:W3CDTF">2018-02-19T14:07:00Z</dcterms:modified>
  <revision>3</revision>
  <dc:title>LIETUVOS RESPUBLIKOS ŠVIETIMO IR MOKSLO MINISTRO</dc:title>
</coreProperties>
</file>