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LIETUVOS RESPUBLIKOS</w:t>
      </w:r>
    </w:p>
    <w:p>
      <w:pPr>
        <w:keepLines/>
        <w:widowControl w:val="0"/>
        <w:suppressAutoHyphens/>
        <w:jc w:val="center"/>
        <w:rPr>
          <w:b/>
          <w:bCs/>
          <w:caps/>
          <w:color w:val="000000"/>
        </w:rPr>
      </w:pPr>
      <w:r>
        <w:rPr>
          <w:b/>
          <w:bCs/>
          <w:caps/>
          <w:color w:val="000000"/>
        </w:rPr>
        <w:t xml:space="preserve">SVEIKATOS SISTEMOS ĮSTATYMO 71 STRAIPSNIO PAKEITIMO </w:t>
      </w:r>
    </w:p>
    <w:p>
      <w:pPr>
        <w:keepLines/>
        <w:widowControl w:val="0"/>
        <w:suppressAutoHyphens/>
        <w:jc w:val="center"/>
        <w:rPr>
          <w:b/>
          <w:bCs/>
          <w:caps/>
          <w:color w:val="000000"/>
          <w:spacing w:val="60"/>
        </w:rPr>
      </w:pPr>
      <w:r>
        <w:rPr>
          <w:b/>
          <w:bCs/>
          <w:caps/>
          <w:color w:val="000000"/>
          <w:spacing w:val="60"/>
        </w:rPr>
        <w:t>ĮSTATYMAS</w:t>
      </w:r>
    </w:p>
    <w:p>
      <w:pPr>
        <w:keepLines/>
        <w:widowControl w:val="0"/>
        <w:suppressAutoHyphens/>
        <w:jc w:val="center"/>
        <w:rPr>
          <w:color w:val="000000"/>
        </w:rPr>
      </w:pPr>
    </w:p>
    <w:p>
      <w:pPr>
        <w:keepLines/>
        <w:widowControl w:val="0"/>
        <w:suppressAutoHyphens/>
        <w:jc w:val="center"/>
        <w:rPr>
          <w:color w:val="000000"/>
        </w:rPr>
      </w:pPr>
      <w:r>
        <w:rPr>
          <w:color w:val="000000"/>
        </w:rPr>
        <w:t>2011 m. gruodžio 1 d. Nr. XI-1759</w:t>
      </w:r>
    </w:p>
    <w:p>
      <w:pPr>
        <w:keepLines/>
        <w:widowControl w:val="0"/>
        <w:suppressAutoHyphens/>
        <w:jc w:val="center"/>
        <w:rPr>
          <w:b/>
          <w:bCs/>
          <w:color w:val="000000"/>
        </w:rPr>
      </w:pPr>
      <w:r>
        <w:rPr>
          <w:color w:val="000000"/>
        </w:rPr>
        <w:t>Vilnius</w:t>
      </w:r>
    </w:p>
    <w:p>
      <w:pPr>
        <w:widowControl w:val="0"/>
        <w:suppressAutoHyphens/>
        <w:ind w:firstLine="567"/>
        <w:jc w:val="both"/>
        <w:rPr>
          <w:color w:val="000000"/>
        </w:rPr>
      </w:pPr>
    </w:p>
    <w:p>
      <w:pPr>
        <w:keepLines/>
        <w:widowControl w:val="0"/>
        <w:suppressAutoHyphens/>
        <w:jc w:val="center"/>
        <w:rPr>
          <w:color w:val="000000"/>
        </w:rPr>
      </w:pPr>
      <w:r>
        <w:rPr>
          <w:color w:val="000000"/>
        </w:rPr>
        <w:t xml:space="preserve">(Žin., 1994, Nr. </w:t>
      </w:r>
      <w:fldSimple w:instr="HYPERLINK https://www.e-tar.lt/portal/lt/legalAct/TAR.E2B2957B9182 \t _blank">
        <w:r>
          <w:rPr>
            <w:color w:val="0000FF" w:themeColor="hyperlink"/>
            <w:u w:val="single"/>
          </w:rPr>
          <w:t>63-1231</w:t>
        </w:r>
      </w:fldSimple>
      <w:r>
        <w:rPr>
          <w:color w:val="000000"/>
        </w:rPr>
        <w:t xml:space="preserve">; 1998, Nr. </w:t>
      </w:r>
      <w:fldSimple w:instr="HYPERLINK https://www.e-tar.lt/portal/lt/legalAct/TAR.E964CE7A637A \t _blank">
        <w:r>
          <w:rPr>
            <w:color w:val="0000FF" w:themeColor="hyperlink"/>
            <w:u w:val="single"/>
          </w:rPr>
          <w:t>112-3099</w:t>
        </w:r>
      </w:fldSimple>
      <w:r>
        <w:rPr>
          <w:color w:val="000000"/>
        </w:rPr>
        <w:t xml:space="preserve">; 2000, Nr. </w:t>
      </w:r>
      <w:fldSimple w:instr="HYPERLINK https://www.e-tar.lt/portal/lt/legalAct/TAR.F27262A8EA8D \t _blank">
        <w:r>
          <w:rPr>
            <w:color w:val="0000FF" w:themeColor="hyperlink"/>
            <w:u w:val="single"/>
          </w:rPr>
          <w:t>61-1810</w:t>
        </w:r>
      </w:fldSimple>
      <w:r>
        <w:rPr>
          <w:color w:val="000000"/>
        </w:rPr>
        <w:t xml:space="preserve">; 2007, Nr. </w:t>
      </w:r>
      <w:fldSimple w:instr="HYPERLINK https://www.e-tar.lt/portal/lt/legalAct/TAR.5490EE6DF9CD \t _blank">
        <w:r>
          <w:rPr>
            <w:color w:val="0000FF" w:themeColor="hyperlink"/>
            <w:u w:val="single"/>
          </w:rPr>
          <w:t>64-2456</w:t>
        </w:r>
      </w:fldSimple>
      <w:r>
        <w:rPr>
          <w:color w:val="000000"/>
        </w:rPr>
        <w:t>)</w:t>
      </w:r>
    </w:p>
    <w:p>
      <w:pPr>
        <w:ind w:firstLine="567"/>
        <w:jc w:val="both"/>
      </w:pPr>
    </w:p>
    <w:p>
      <w:pPr>
        <w:keepLines/>
        <w:widowControl w:val="0"/>
        <w:suppressAutoHyphens/>
        <w:ind w:firstLine="567"/>
        <w:rPr>
          <w:b/>
          <w:bCs/>
          <w:color w:val="000000"/>
        </w:rPr>
      </w:pPr>
      <w:r>
        <w:rPr>
          <w:b/>
          <w:bCs/>
          <w:color w:val="000000"/>
        </w:rPr>
        <w:t>1</w:t>
      </w:r>
      <w:r>
        <w:rPr>
          <w:b/>
          <w:bCs/>
          <w:color w:val="000000"/>
        </w:rPr>
        <w:t xml:space="preserve"> straipsnis. </w:t>
      </w:r>
      <w:r>
        <w:rPr>
          <w:b/>
          <w:bCs/>
          <w:color w:val="000000"/>
        </w:rPr>
        <w:t>71 straipsnio pakeitimas</w:t>
      </w:r>
    </w:p>
    <w:p>
      <w:pPr>
        <w:widowControl w:val="0"/>
        <w:suppressAutoHyphens/>
        <w:ind w:firstLine="567"/>
        <w:jc w:val="both"/>
        <w:rPr>
          <w:color w:val="000000"/>
        </w:rPr>
      </w:pPr>
      <w:r>
        <w:rPr>
          <w:color w:val="000000"/>
        </w:rPr>
        <w:t>Pakeisti 71 straipsnį ir jį išdėstyti taip:</w:t>
      </w:r>
    </w:p>
    <w:p>
      <w:pPr>
        <w:ind w:firstLine="567"/>
        <w:jc w:val="both"/>
      </w:pPr>
    </w:p>
    <w:p>
      <w:pPr>
        <w:keepLines/>
        <w:widowControl w:val="0"/>
        <w:suppressAutoHyphens/>
        <w:ind w:firstLine="567"/>
        <w:rPr>
          <w:b/>
          <w:bCs/>
          <w:color w:val="000000"/>
        </w:rPr>
      </w:pPr>
      <w:r>
        <w:rPr>
          <w:color w:val="000000"/>
        </w:rPr>
        <w:t>„</w:t>
      </w:r>
      <w:r>
        <w:rPr>
          <w:b/>
          <w:bCs/>
          <w:color w:val="000000"/>
        </w:rPr>
        <w:t>71</w:t>
      </w:r>
      <w:r>
        <w:rPr>
          <w:b/>
          <w:bCs/>
          <w:color w:val="000000"/>
        </w:rPr>
        <w:t xml:space="preserve"> straipsnis. </w:t>
      </w:r>
      <w:r>
        <w:rPr>
          <w:b/>
          <w:bCs/>
          <w:color w:val="000000"/>
        </w:rPr>
        <w:t>Visuomenės sveikatos centrai apskrityse</w:t>
      </w:r>
    </w:p>
    <w:p>
      <w:pPr>
        <w:widowControl w:val="0"/>
        <w:suppressAutoHyphens/>
        <w:ind w:firstLine="567"/>
        <w:jc w:val="both"/>
        <w:rPr>
          <w:color w:val="000000"/>
        </w:rPr>
      </w:pPr>
      <w:r>
        <w:rPr>
          <w:color w:val="000000"/>
        </w:rPr>
        <w:t>1</w:t>
      </w:r>
      <w:r>
        <w:rPr>
          <w:color w:val="000000"/>
        </w:rPr>
        <w:t>. Valstybės politiką visuomenės sveikatos priežiūros srityje įgyvendina visuomenės sveikatos centrai apskrityse (toliau – centrai). Centrai yra viešieji juridiniai asmenys, išlaikomi iš valstybės biudžeto asignavimų ir kitų valstybės pinigų fondų lėšų. Centrai veikia pagal Vyriausybės patvirtintus nuostatus. Vyriausybė centrų nuostatus gali pavesti tvirtinti sveikatos apsaugos ministrui.</w:t>
      </w:r>
    </w:p>
    <w:p>
      <w:pPr>
        <w:widowControl w:val="0"/>
        <w:suppressAutoHyphens/>
        <w:ind w:firstLine="567"/>
        <w:jc w:val="both"/>
        <w:rPr>
          <w:color w:val="000000"/>
        </w:rPr>
      </w:pPr>
      <w:r>
        <w:rPr>
          <w:color w:val="000000"/>
        </w:rPr>
        <w:t>2</w:t>
      </w:r>
      <w:r>
        <w:rPr>
          <w:color w:val="000000"/>
        </w:rPr>
        <w:t>. Centrų kompetenciją nustato Visuomenės sveikatos priežiūros įstatymas ir kiti įstatymai bei teisės aktai.“</w:t>
      </w:r>
    </w:p>
    <w:p>
      <w:pPr>
        <w:ind w:firstLine="567"/>
        <w:jc w:val="both"/>
      </w:pPr>
    </w:p>
    <w:p>
      <w:pPr>
        <w:keepLines/>
        <w:widowControl w:val="0"/>
        <w:suppressAutoHyphens/>
        <w:ind w:firstLine="567"/>
        <w:rPr>
          <w:b/>
          <w:bCs/>
          <w:color w:val="000000"/>
        </w:rPr>
      </w:pPr>
      <w:r>
        <w:rPr>
          <w:b/>
          <w:bCs/>
          <w:color w:val="000000"/>
        </w:rPr>
        <w:t>2</w:t>
      </w:r>
      <w:r>
        <w:rPr>
          <w:b/>
          <w:bCs/>
          <w:color w:val="000000"/>
        </w:rPr>
        <w:t xml:space="preserve"> straipsnis. </w:t>
      </w:r>
      <w:r>
        <w:rPr>
          <w:b/>
          <w:bCs/>
          <w:color w:val="000000"/>
        </w:rPr>
        <w:t>Įstatymo įsigaliojimas ir įgyvendinimas</w:t>
      </w:r>
    </w:p>
    <w:p>
      <w:pPr>
        <w:widowControl w:val="0"/>
        <w:suppressAutoHyphens/>
        <w:ind w:firstLine="567"/>
        <w:jc w:val="both"/>
        <w:rPr>
          <w:color w:val="000000"/>
        </w:rPr>
      </w:pPr>
      <w:r>
        <w:rPr>
          <w:color w:val="000000"/>
        </w:rPr>
        <w:t>1</w:t>
      </w:r>
      <w:r>
        <w:rPr>
          <w:color w:val="000000"/>
        </w:rPr>
        <w:t>. Šis įstatymas, išskyrus šio straipsnio 2 dalį, įsigalioja 2012 m. liepos 1 d.</w:t>
      </w:r>
    </w:p>
    <w:p>
      <w:pPr>
        <w:widowControl w:val="0"/>
        <w:suppressAutoHyphens/>
        <w:ind w:firstLine="567"/>
        <w:jc w:val="both"/>
        <w:rPr>
          <w:color w:val="000000"/>
        </w:rPr>
      </w:pPr>
      <w:r>
        <w:rPr>
          <w:color w:val="000000"/>
        </w:rPr>
        <w:t>2</w:t>
      </w:r>
      <w:r>
        <w:rPr>
          <w:color w:val="000000"/>
        </w:rPr>
        <w:t>. Lietuvos Respublikos Vyriausybė ar jos įgaliota institucija iki 2012 m. birželio 30 d. priima šio įstatymo įgyvendinamuosius teisės aktus.</w:t>
      </w:r>
    </w:p>
    <w:p>
      <w:pPr>
        <w:widowControl w:val="0"/>
        <w:suppressAutoHyphens/>
        <w:ind w:firstLine="567"/>
        <w:jc w:val="both"/>
        <w:rPr>
          <w:color w:val="000000"/>
        </w:rPr>
      </w:pPr>
    </w:p>
    <w:p>
      <w:pPr>
        <w:widowControl w:val="0"/>
        <w:suppressAutoHyphens/>
        <w:ind w:firstLine="567"/>
        <w:jc w:val="both"/>
        <w:rPr>
          <w:i/>
          <w:iCs/>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F3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1095</Characters>
  <Application>Microsoft Office Word</Application>
  <DocSecurity>4</DocSecurity>
  <Lines>33</Lines>
  <Paragraphs>19</Paragraphs>
  <ScaleCrop>false</ScaleCrop>
  <Company/>
  <LinksUpToDate>false</LinksUpToDate>
  <CharactersWithSpaces>1236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2015-09-16T19:04:00Z</dcterms:created>
  <dc:creator>Rima</dc:creator>
  <lastModifiedBy>Adlib User</lastModifiedBy>
  <dcterms:modified xsi:type="dcterms:W3CDTF">2015-09-16T19:04:00Z</dcterms:modified>
  <revision>2</revision>
  <dc:title>LIETUVOS RESPUBLIKOS SVEIKATOS SISTEMOS ĮSTATYMO 71 STRAIPSNIO PAKEITIMO ĮSTATYMAS</dc:title>
</coreProperties>
</file>