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STATYBOS ĮSTATYMO 37 STRAIPSNIO PAKEITIMO </w:t>
      </w:r>
    </w:p>
    <w:p>
      <w:pPr>
        <w:widowControl w:val="0"/>
        <w:suppressAutoHyphens/>
        <w:jc w:val="center"/>
        <w:rPr>
          <w:rFonts w:ascii="Times New Roman Bold" w:hAnsi="Times New Roman Bold"/>
          <w:b/>
          <w:bCs/>
          <w:caps/>
          <w:color w:val="000000"/>
          <w:spacing w:val="60"/>
        </w:rPr>
      </w:pPr>
      <w:r>
        <w:rPr>
          <w:rFonts w:ascii="Times New Roman Bold" w:hAnsi="Times New Roman Bold"/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lapkričio 17 d. Nr. XI-1699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1996, Nr. </w:t>
      </w:r>
      <w:fldSimple w:instr="HYPERLINK https://www.e-tar.lt/portal/lt/legalAct/TAR.F31E79DEC55D \t _blank">
        <w:r>
          <w:rPr>
            <w:color w:val="0000FF" w:themeColor="hyperlink"/>
            <w:u w:val="single"/>
          </w:rPr>
          <w:t>32-788</w:t>
        </w:r>
      </w:fldSimple>
      <w:r>
        <w:rPr>
          <w:color w:val="000000"/>
        </w:rPr>
        <w:t xml:space="preserve">; 2001, Nr. </w:t>
      </w:r>
      <w:fldSimple w:instr="HYPERLINK https://www.e-tar.lt/portal/lt/legalAct/TAR.80A638E6C263 \t _blank">
        <w:r>
          <w:rPr>
            <w:color w:val="0000FF" w:themeColor="hyperlink"/>
            <w:u w:val="single"/>
          </w:rPr>
          <w:t>101-3597</w:t>
        </w:r>
      </w:fldSimple>
      <w:r>
        <w:rPr>
          <w:color w:val="000000"/>
        </w:rPr>
        <w:t xml:space="preserve">; 2009, Nr. </w:t>
      </w:r>
      <w:fldSimple w:instr="HYPERLINK https://www.e-tar.lt/portal/lt/legalAct/TAR.0558F08B2FBB \t _blank">
        <w:r>
          <w:rPr>
            <w:color w:val="0000FF" w:themeColor="hyperlink"/>
            <w:u w:val="single"/>
          </w:rPr>
          <w:t>117-4993</w:t>
        </w:r>
      </w:fldSimple>
      <w:r>
        <w:rPr>
          <w:color w:val="000000"/>
        </w:rPr>
        <w:t>)</w:t>
      </w:r>
    </w:p>
    <w:p/>
    <w:p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37 straipsnio 5, 7 ir 8 dalių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37 straipsnio 5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>. Draudimo sutarties šalys yra draudėjas (statinio projektuotojas ar rangovas) ir draudikas, kuris teisės aktų nustatyta tvarka turi teisę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vykdyti statinio projektuotojo ir rangovo civilinės atsakomybės privalomąjį draudimą.“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37 straipsnio 7 dalį ir ją dalį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7</w:t>
      </w:r>
      <w:r>
        <w:rPr>
          <w:color w:val="000000"/>
        </w:rPr>
        <w:t>. Draudimo galiojimo terminai nustatomi Lietuvos banko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tvirtinamose Statinio projektuotojo civilinės atsakomybės privalomojo draudimo taisyklėse ir Rangovo civilinės atsakomybės privalomojo draudimo taisyklėse.“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Pakeisti 37 straipsnio 8 dalį ir ją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</w:t>
      </w:r>
      <w:r>
        <w:rPr>
          <w:color w:val="000000"/>
        </w:rPr>
        <w:t>. Statinio projektuotojo ir rangovo civilinės atsakomybės privalomojo draudimo sutartys sudaromos pagal Lietuvos banko patvirtintas Statinio projektuotojo civilinės atsakomybės privalomojo draudimo taisykles ir Rangovo civilinės atsakomybės privalomojo draudimo taisykles.“</w:t>
      </w:r>
    </w:p>
    <w:p/>
    <w:p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Šis įstatymas įsigalioja 2012 m. sausio 1 d.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 xml:space="preserve">RESPUBLIKOS PREZIDENTĖ </w:t>
        <w:tab/>
        <w:t>DALIA GRYBAUSKAITĖ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1164</Characters>
  <Application>Microsoft Office Word</Application>
  <DocSecurity>4</DocSecurity>
  <Lines>34</Lines>
  <Paragraphs>20</Paragraphs>
  <ScaleCrop>false</ScaleCrop>
  <Company>Teisines informacijos centras</Company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2015-09-22T17:26:00Z</dcterms:created>
  <dc:creator>Sandra</dc:creator>
  <lastModifiedBy>Adlib User</lastModifiedBy>
  <dcterms:modified xsi:type="dcterms:W3CDTF">2015-09-22T17:26:00Z</dcterms:modified>
  <revision>2</revision>
  <dc:title>LIETUVOS RESPUBLIKOS</dc:title>
</coreProperties>
</file>