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ŠILUMOS ŪKIO ĮSTATYMO 12 STRAIPSNIO PAKEITIMO </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keepLines/>
        <w:widowControl w:val="0"/>
        <w:suppressAutoHyphens/>
        <w:jc w:val="center"/>
        <w:rPr>
          <w:color w:val="000000"/>
        </w:rPr>
      </w:pPr>
      <w:r>
        <w:rPr>
          <w:color w:val="000000"/>
        </w:rPr>
        <w:t>2011 m. spalio 11 d. Nr. XI-1613</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2010, Nr. </w:t>
      </w:r>
      <w:fldSimple w:instr="HYPERLINK https://www.e-tar.lt/portal/lt/legalAct/TAR.A1311C5AC5DA \t _blank">
        <w:r>
          <w:rPr>
            <w:color w:val="0000FF" w:themeColor="hyperlink"/>
            <w:u w:val="single"/>
          </w:rPr>
          <w:t>1-6</w:t>
        </w:r>
      </w:fldSimple>
      <w:r>
        <w:rPr>
          <w:color w:val="000000"/>
        </w:rPr>
        <w:t>)</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1</w:t>
      </w:r>
      <w:r>
        <w:rPr>
          <w:b/>
          <w:bCs/>
          <w:color w:val="000000"/>
        </w:rPr>
        <w:t xml:space="preserve"> straipsnis. </w:t>
      </w:r>
      <w:r>
        <w:rPr>
          <w:b/>
          <w:bCs/>
          <w:color w:val="000000"/>
        </w:rPr>
        <w:t>12 straipsnio 1 dalies pakeitimas</w:t>
      </w:r>
    </w:p>
    <w:p>
      <w:pPr>
        <w:widowControl w:val="0"/>
        <w:suppressAutoHyphens/>
        <w:ind w:firstLine="567"/>
        <w:jc w:val="both"/>
        <w:rPr>
          <w:color w:val="000000"/>
        </w:rPr>
      </w:pPr>
      <w:r>
        <w:rPr>
          <w:color w:val="000000"/>
        </w:rPr>
        <w:t>Pakeisti 12 straipsnio 1 dalį ir ją išdėstyti jį taip:</w:t>
      </w:r>
    </w:p>
    <w:p>
      <w:pPr>
        <w:widowControl w:val="0"/>
        <w:suppressAutoHyphens/>
        <w:ind w:firstLine="567"/>
        <w:jc w:val="both"/>
        <w:rPr>
          <w:color w:val="000000"/>
        </w:rPr>
      </w:pPr>
      <w:r>
        <w:rPr>
          <w:color w:val="000000"/>
        </w:rPr>
        <w:t>„</w:t>
      </w:r>
      <w:r>
        <w:rPr>
          <w:color w:val="000000"/>
        </w:rPr>
        <w:t>1</w:t>
      </w:r>
      <w:r>
        <w:rPr>
          <w:color w:val="000000"/>
        </w:rPr>
        <w:t>. Šilumos vartotojai atsiskaito su šilumos tiekėju už sunaudotą šilumą pagal šilumos pirkimo–pardavimo vietoje įrengtų atsiskaitomųjų šilumos apskaitos prietaisų rodmenis. Vyriausybės ar jos įgaliotos institucijos nustatyta tvarka šilumos tiekėjas privalo suteikti slaptažodį šilumos vartotojams, kad šie galėtų elektroninių ryšių priemonėmis susipažinti su šilumos pirkimo–pardavimo vietoje įrengtų atsiskaitomųjų šilumos apskaitos prietaisų rodmenimis.“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2011 m. lapkričio 1 d.</w:t>
      </w:r>
    </w:p>
    <w:p>
      <w:pPr>
        <w:widowControl w:val="0"/>
        <w:suppressAutoHyphens/>
        <w:ind w:firstLine="567"/>
        <w:jc w:val="both"/>
        <w:rPr>
          <w:color w:val="000000"/>
        </w:rPr>
      </w:pPr>
      <w:r>
        <w:rPr>
          <w:color w:val="000000"/>
        </w:rPr>
        <w:t>2</w:t>
      </w:r>
      <w:r>
        <w:rPr>
          <w:color w:val="000000"/>
        </w:rPr>
        <w:t>. Vyriausybė ar jos įgaliota institucija iki 2011 m. lapkričio 1 d.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994</Characters>
  <Application>Microsoft Office Word</Application>
  <DocSecurity>4</DocSecurity>
  <Lines>30</Lines>
  <Paragraphs>17</Paragraphs>
  <ScaleCrop>false</ScaleCrop>
  <Company/>
  <LinksUpToDate>false</LinksUpToDate>
  <CharactersWithSpaces>1127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2015-10-03T01:04:00Z</dcterms:created>
  <dc:creator>Rima</dc:creator>
  <lastModifiedBy>Adlib User</lastModifiedBy>
  <dcterms:modified xsi:type="dcterms:W3CDTF">2015-10-03T01:04:00Z</dcterms:modified>
  <revision>2</revision>
  <dc:title>LIETUVOS RESPUBLIKOS ŠILUMOS ŪKIO ĮSTATYMO 12 STRAIPSNIO PAKEITIMO</dc:title>
</coreProperties>
</file>