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E3B06" w14:textId="77777777" w:rsidR="00FA145C" w:rsidRDefault="00B92FA8">
      <w:pPr>
        <w:widowControl w:val="0"/>
        <w:suppressAutoHyphens/>
        <w:jc w:val="center"/>
        <w:rPr>
          <w:caps/>
          <w:color w:val="000000"/>
        </w:rPr>
      </w:pPr>
      <w:r>
        <w:rPr>
          <w:caps/>
          <w:color w:val="000000"/>
        </w:rPr>
        <w:pict w14:anchorId="090E3B3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aps/>
          <w:color w:val="000000"/>
        </w:rPr>
        <w:t xml:space="preserve">lietuvos respublikos </w:t>
      </w:r>
    </w:p>
    <w:p w14:paraId="090E3B07" w14:textId="77777777" w:rsidR="00FA145C" w:rsidRDefault="00B92FA8">
      <w:pPr>
        <w:widowControl w:val="0"/>
        <w:suppressAutoHyphens/>
        <w:jc w:val="center"/>
        <w:rPr>
          <w:color w:val="000000"/>
        </w:rPr>
      </w:pPr>
      <w:r>
        <w:rPr>
          <w:caps/>
          <w:color w:val="000000"/>
        </w:rPr>
        <w:t>krašto apsaugos ministrO</w:t>
      </w:r>
    </w:p>
    <w:p w14:paraId="090E3B08" w14:textId="77777777" w:rsidR="00FA145C" w:rsidRDefault="00B92FA8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090E3B09" w14:textId="77777777" w:rsidR="00FA145C" w:rsidRDefault="00FA145C">
      <w:pPr>
        <w:widowControl w:val="0"/>
        <w:suppressAutoHyphens/>
        <w:jc w:val="center"/>
        <w:rPr>
          <w:color w:val="000000"/>
        </w:rPr>
      </w:pPr>
    </w:p>
    <w:p w14:paraId="090E3B0A" w14:textId="77777777" w:rsidR="00FA145C" w:rsidRDefault="00B92FA8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KARO PRIEVOLĘ ADMINISTRUOJANČIOS KRAŠTO APSAUGOS SISTEMOS INSTITUCIJOS PRIIMTŲ SPRENDIMŲ APSKUNDIMO IR SKUNDŲ NAGRINĖJIMO TVARKOS aprašo patvirtinimo</w:t>
      </w:r>
    </w:p>
    <w:p w14:paraId="090E3B0B" w14:textId="77777777" w:rsidR="00FA145C" w:rsidRDefault="00FA145C">
      <w:pPr>
        <w:widowControl w:val="0"/>
        <w:suppressAutoHyphens/>
        <w:jc w:val="center"/>
        <w:rPr>
          <w:color w:val="000000"/>
        </w:rPr>
      </w:pPr>
    </w:p>
    <w:p w14:paraId="090E3B0C" w14:textId="77777777" w:rsidR="00FA145C" w:rsidRDefault="00B92FA8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</w:t>
      </w:r>
      <w:r>
        <w:rPr>
          <w:color w:val="000000"/>
        </w:rPr>
        <w:t>11 m. rugsėjo 19 d. Nr. V-1069</w:t>
      </w:r>
    </w:p>
    <w:p w14:paraId="090E3B0D" w14:textId="77777777" w:rsidR="00FA145C" w:rsidRDefault="00B92FA8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090E3B0E" w14:textId="77777777" w:rsidR="00FA145C" w:rsidRDefault="00FA145C">
      <w:pPr>
        <w:widowControl w:val="0"/>
        <w:suppressAutoHyphens/>
        <w:jc w:val="center"/>
        <w:rPr>
          <w:color w:val="000000"/>
        </w:rPr>
      </w:pPr>
    </w:p>
    <w:p w14:paraId="2758DE74" w14:textId="77777777" w:rsidR="00B92FA8" w:rsidRDefault="00B92FA8">
      <w:pPr>
        <w:widowControl w:val="0"/>
        <w:suppressAutoHyphens/>
        <w:jc w:val="center"/>
        <w:rPr>
          <w:color w:val="000000"/>
        </w:rPr>
      </w:pPr>
    </w:p>
    <w:p w14:paraId="090E3B0F" w14:textId="77777777" w:rsidR="00FA145C" w:rsidRDefault="00B92F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Vadovaudamasi Lietuvos Respublikos karo prievolės įstatymo (Žin., 1996, Nr. </w:t>
      </w:r>
      <w:hyperlink r:id="rId10" w:tgtFrame="_blank" w:history="1">
        <w:r>
          <w:rPr>
            <w:color w:val="0000FF" w:themeColor="hyperlink"/>
            <w:u w:val="single"/>
          </w:rPr>
          <w:t>106-2427</w:t>
        </w:r>
      </w:hyperlink>
      <w:r>
        <w:rPr>
          <w:color w:val="000000"/>
        </w:rPr>
        <w:t xml:space="preserve">; 2011, Nr. </w:t>
      </w:r>
      <w:hyperlink r:id="rId11" w:tgtFrame="_blank" w:history="1">
        <w:r>
          <w:rPr>
            <w:color w:val="0000FF" w:themeColor="hyperlink"/>
            <w:u w:val="single"/>
          </w:rPr>
          <w:t>86-4150</w:t>
        </w:r>
      </w:hyperlink>
      <w:r>
        <w:rPr>
          <w:color w:val="000000"/>
        </w:rPr>
        <w:t>) 38 straipsnio 2 dalimi,</w:t>
      </w:r>
    </w:p>
    <w:p w14:paraId="090E3B12" w14:textId="104C5D85" w:rsidR="00FA145C" w:rsidRDefault="00B92F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50"/>
        </w:rPr>
        <w:t xml:space="preserve">tvirtinu </w:t>
      </w:r>
      <w:r>
        <w:rPr>
          <w:color w:val="000000"/>
        </w:rPr>
        <w:t>Karo prievolę administruojančios krašto apsaugos sistemos institucijos priimtų sprendimų apskundimo ir skundų nagrinėjimo tvarkos aprašą (pridedama).</w:t>
      </w:r>
    </w:p>
    <w:p w14:paraId="5CAC73EF" w14:textId="77777777" w:rsidR="00B92FA8" w:rsidRDefault="00B92FA8">
      <w:pPr>
        <w:widowControl w:val="0"/>
        <w:tabs>
          <w:tab w:val="right" w:pos="9071"/>
        </w:tabs>
        <w:suppressAutoHyphens/>
      </w:pPr>
    </w:p>
    <w:p w14:paraId="160FBBED" w14:textId="77777777" w:rsidR="00B92FA8" w:rsidRDefault="00B92FA8">
      <w:pPr>
        <w:widowControl w:val="0"/>
        <w:tabs>
          <w:tab w:val="right" w:pos="9071"/>
        </w:tabs>
        <w:suppressAutoHyphens/>
      </w:pPr>
    </w:p>
    <w:p w14:paraId="74A9224D" w14:textId="77777777" w:rsidR="00B92FA8" w:rsidRDefault="00B92FA8">
      <w:pPr>
        <w:widowControl w:val="0"/>
        <w:tabs>
          <w:tab w:val="right" w:pos="9071"/>
        </w:tabs>
        <w:suppressAutoHyphens/>
      </w:pPr>
    </w:p>
    <w:p w14:paraId="090E3B13" w14:textId="5EE86FA3" w:rsidR="00FA145C" w:rsidRDefault="00B92FA8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Krašto apsaugos mini</w:t>
      </w:r>
      <w:r>
        <w:rPr>
          <w:caps/>
          <w:color w:val="000000"/>
        </w:rPr>
        <w:t>strė</w:t>
      </w:r>
      <w:r>
        <w:rPr>
          <w:caps/>
          <w:color w:val="000000"/>
        </w:rPr>
        <w:tab/>
        <w:t>Rasa Juknevičienė</w:t>
      </w:r>
    </w:p>
    <w:p w14:paraId="090E3B14" w14:textId="77777777" w:rsidR="00FA145C" w:rsidRDefault="00B92FA8">
      <w:pPr>
        <w:widowControl w:val="0"/>
        <w:suppressAutoHyphens/>
        <w:jc w:val="center"/>
        <w:rPr>
          <w:color w:val="000000"/>
        </w:rPr>
      </w:pPr>
    </w:p>
    <w:p w14:paraId="090E3B15" w14:textId="77777777" w:rsidR="00FA145C" w:rsidRDefault="00B92FA8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PATVIRTINTA</w:t>
      </w:r>
    </w:p>
    <w:p w14:paraId="090E3B16" w14:textId="77777777" w:rsidR="00FA145C" w:rsidRDefault="00B92FA8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Lietuvos Respublikos krašto apsaugos ministro </w:t>
      </w:r>
    </w:p>
    <w:p w14:paraId="090E3B17" w14:textId="77777777" w:rsidR="00FA145C" w:rsidRDefault="00B92FA8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2011 m. rugsėjo 19 d. įsakymu Nr. V-1069</w:t>
      </w:r>
    </w:p>
    <w:p w14:paraId="090E3B18" w14:textId="77777777" w:rsidR="00FA145C" w:rsidRDefault="00FA145C">
      <w:pPr>
        <w:widowControl w:val="0"/>
        <w:suppressAutoHyphens/>
        <w:jc w:val="center"/>
        <w:rPr>
          <w:color w:val="000000"/>
        </w:rPr>
      </w:pPr>
    </w:p>
    <w:p w14:paraId="090E3B19" w14:textId="77777777" w:rsidR="00FA145C" w:rsidRDefault="00B92FA8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KARO PRIEVOLĘ ADMINISTRUOJANČIOS KRAŠTO APSAUGOS SISTEMOS INSTITUCIJOS PRIIMTŲ SPRENDIMŲ APSKUNDIMO IR SKUNDŲ NAGRINĖJIMO TVAR</w:t>
      </w:r>
      <w:r>
        <w:rPr>
          <w:b/>
          <w:bCs/>
          <w:caps/>
          <w:color w:val="000000"/>
        </w:rPr>
        <w:t>KOS APRAŠAS</w:t>
      </w:r>
    </w:p>
    <w:p w14:paraId="090E3B1A" w14:textId="77777777" w:rsidR="00FA145C" w:rsidRDefault="00FA145C">
      <w:pPr>
        <w:widowControl w:val="0"/>
        <w:suppressAutoHyphens/>
        <w:jc w:val="center"/>
        <w:rPr>
          <w:color w:val="000000"/>
        </w:rPr>
      </w:pPr>
    </w:p>
    <w:p w14:paraId="090E3B1B" w14:textId="77777777" w:rsidR="00FA145C" w:rsidRDefault="00B92FA8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BENDROSIOS NUOSTATOS</w:t>
      </w:r>
    </w:p>
    <w:p w14:paraId="090E3B1C" w14:textId="77777777" w:rsidR="00FA145C" w:rsidRDefault="00FA145C">
      <w:pPr>
        <w:widowControl w:val="0"/>
        <w:suppressAutoHyphens/>
        <w:ind w:firstLine="567"/>
        <w:jc w:val="both"/>
        <w:rPr>
          <w:color w:val="000000"/>
        </w:rPr>
      </w:pPr>
    </w:p>
    <w:p w14:paraId="090E3B1D" w14:textId="77777777" w:rsidR="00FA145C" w:rsidRDefault="00B92F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Karo prievolę administruojančios krašto apsaugos sistemos institucijos priimtų sprendimų apskundimo ir skundų nagrinėjimo tvarkos aprašas (toliau – Tvarkos aprašas) reglamentuoja karo prievolininkų, iki jie </w:t>
      </w:r>
      <w:r>
        <w:rPr>
          <w:color w:val="000000"/>
        </w:rPr>
        <w:t>įstatymų nustatyta tvarka įgyja kario statusą, skundų dėl karo prievolę administruojančios krašto apsaugos sistemos institucijos sprendimų padavimo ir nagrinėjimo tvarką.</w:t>
      </w:r>
    </w:p>
    <w:p w14:paraId="090E3B1E" w14:textId="77777777" w:rsidR="00FA145C" w:rsidRDefault="00B92F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Tvarkos aprašas parengtas vadovaujantis Lietuvos Respublikos karo prievolės įs</w:t>
      </w:r>
      <w:r>
        <w:rPr>
          <w:color w:val="000000"/>
        </w:rPr>
        <w:t xml:space="preserve">tatymu (Žin., 1996, Nr. </w:t>
      </w:r>
      <w:hyperlink r:id="rId12" w:tgtFrame="_blank" w:history="1">
        <w:r>
          <w:rPr>
            <w:color w:val="0000FF" w:themeColor="hyperlink"/>
            <w:u w:val="single"/>
          </w:rPr>
          <w:t>106-2427</w:t>
        </w:r>
      </w:hyperlink>
      <w:r>
        <w:rPr>
          <w:color w:val="000000"/>
        </w:rPr>
        <w:t xml:space="preserve">; 2011, Nr. </w:t>
      </w:r>
      <w:hyperlink r:id="rId13" w:tgtFrame="_blank" w:history="1">
        <w:r>
          <w:rPr>
            <w:color w:val="0000FF" w:themeColor="hyperlink"/>
            <w:u w:val="single"/>
          </w:rPr>
          <w:t>86-4150</w:t>
        </w:r>
      </w:hyperlink>
      <w:r>
        <w:rPr>
          <w:color w:val="000000"/>
        </w:rPr>
        <w:t>), Lietuvos Respublikos krašto apsaugos sistemo</w:t>
      </w:r>
      <w:r>
        <w:rPr>
          <w:color w:val="000000"/>
        </w:rPr>
        <w:t xml:space="preserve">s organizavimo ir karo tarnybos įstatymu (Žin., 1998, Nr. </w:t>
      </w:r>
      <w:hyperlink r:id="rId14" w:tgtFrame="_blank" w:history="1">
        <w:r>
          <w:rPr>
            <w:color w:val="0000FF" w:themeColor="hyperlink"/>
            <w:u w:val="single"/>
          </w:rPr>
          <w:t>49-1325</w:t>
        </w:r>
      </w:hyperlink>
      <w:r>
        <w:rPr>
          <w:color w:val="000000"/>
        </w:rPr>
        <w:t>), Lietuvos Respublikos viešojo administravimo įstatymu (Žin.,</w:t>
      </w:r>
      <w:r>
        <w:rPr>
          <w:caps/>
          <w:color w:val="000000"/>
        </w:rPr>
        <w:t xml:space="preserve"> 1999, N</w:t>
      </w:r>
      <w:r>
        <w:rPr>
          <w:color w:val="000000"/>
        </w:rPr>
        <w:t>r</w:t>
      </w:r>
      <w:r>
        <w:rPr>
          <w:caps/>
          <w:color w:val="000000"/>
        </w:rPr>
        <w:t xml:space="preserve">. </w:t>
      </w:r>
      <w:hyperlink r:id="rId15" w:tgtFrame="_blank" w:history="1">
        <w:r>
          <w:rPr>
            <w:caps/>
            <w:color w:val="0000FF" w:themeColor="hyperlink"/>
            <w:u w:val="single"/>
          </w:rPr>
          <w:t>60-1945</w:t>
        </w:r>
      </w:hyperlink>
      <w:r>
        <w:rPr>
          <w:caps/>
          <w:color w:val="000000"/>
        </w:rPr>
        <w:t>).</w:t>
      </w:r>
    </w:p>
    <w:p w14:paraId="090E3B1F" w14:textId="77777777" w:rsidR="00FA145C" w:rsidRDefault="00B92F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-4"/>
        </w:rPr>
        <w:t>3</w:t>
      </w:r>
      <w:r>
        <w:rPr>
          <w:color w:val="000000"/>
          <w:spacing w:val="-4"/>
        </w:rPr>
        <w:t>. Šiame Tvarkos apraše vartojamos sąvokos suprantamos taip, kaip jos apibrėžtos Tvarkos aprašo 2 punkte nurodytuose teisės aktuose.</w:t>
      </w:r>
    </w:p>
    <w:p w14:paraId="090E3B20" w14:textId="77777777" w:rsidR="00FA145C" w:rsidRDefault="00B92FA8">
      <w:pPr>
        <w:widowControl w:val="0"/>
        <w:suppressAutoHyphens/>
        <w:ind w:firstLine="567"/>
        <w:jc w:val="both"/>
        <w:rPr>
          <w:color w:val="000000"/>
        </w:rPr>
      </w:pPr>
    </w:p>
    <w:p w14:paraId="090E3B21" w14:textId="77777777" w:rsidR="00FA145C" w:rsidRDefault="00B92FA8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SKUNDŲ pateikimas ir NAGRINĖJIMAS</w:t>
      </w:r>
    </w:p>
    <w:p w14:paraId="090E3B22" w14:textId="77777777" w:rsidR="00FA145C" w:rsidRDefault="00FA145C">
      <w:pPr>
        <w:widowControl w:val="0"/>
        <w:suppressAutoHyphens/>
        <w:ind w:firstLine="567"/>
        <w:jc w:val="both"/>
        <w:rPr>
          <w:color w:val="000000"/>
        </w:rPr>
      </w:pPr>
    </w:p>
    <w:p w14:paraId="090E3B23" w14:textId="77777777" w:rsidR="00FA145C" w:rsidRDefault="00B92F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Karo prievolinin</w:t>
      </w:r>
      <w:r>
        <w:rPr>
          <w:color w:val="000000"/>
        </w:rPr>
        <w:t>kas, gavęs karo prievolę administruojančios krašto apsaugos sistemos institucijos sprendimą, turi teisę per 10 dienų pateikti krašto apsaugos ministrui skundą dėl šio sprendimo.</w:t>
      </w:r>
    </w:p>
    <w:p w14:paraId="090E3B24" w14:textId="77777777" w:rsidR="00FA145C" w:rsidRDefault="00B92FA8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5</w:t>
      </w:r>
      <w:r>
        <w:rPr>
          <w:color w:val="000000"/>
          <w:spacing w:val="-2"/>
        </w:rPr>
        <w:t>. Skundas gali būti pateikiamas raštu (tiesiogiai karo prievolininkui atv</w:t>
      </w:r>
      <w:r>
        <w:rPr>
          <w:color w:val="000000"/>
          <w:spacing w:val="-2"/>
        </w:rPr>
        <w:t>ykus į Krašto apsaugos ministerijos Administracijos departamento Dokumentų administravimo skyrių, siunčiamas registruotu paštu ar per kurjerį), elektroniniu būdu (nuskenuotas arba pasirašytas elektroniniu parašu) Krašto apsaugos ministerijos elektroninio p</w:t>
      </w:r>
      <w:r>
        <w:rPr>
          <w:color w:val="000000"/>
          <w:spacing w:val="-2"/>
        </w:rPr>
        <w:t xml:space="preserve">ašto adresu </w:t>
      </w:r>
      <w:r>
        <w:rPr>
          <w:color w:val="000000"/>
          <w:spacing w:val="-2"/>
          <w:u w:color="0000FF"/>
        </w:rPr>
        <w:t>pilieciuaptarnavimas@kam.lt</w:t>
      </w:r>
      <w:r>
        <w:rPr>
          <w:color w:val="000000"/>
          <w:spacing w:val="-2"/>
        </w:rPr>
        <w:t>, faksu.</w:t>
      </w:r>
    </w:p>
    <w:p w14:paraId="090E3B25" w14:textId="77777777" w:rsidR="00FA145C" w:rsidRDefault="00B92FA8">
      <w:pPr>
        <w:widowControl w:val="0"/>
        <w:suppressAutoHyphens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6</w:t>
      </w:r>
      <w:r>
        <w:rPr>
          <w:color w:val="000000"/>
          <w:spacing w:val="-5"/>
        </w:rPr>
        <w:t>. Skundus nagrinėja nuolatinė karo prievolininkų skundų nagrinėjimo komisija, kurios sudėtį ir nuostatus tvirtina krašto apsaugos ministras.</w:t>
      </w:r>
    </w:p>
    <w:p w14:paraId="090E3B26" w14:textId="77777777" w:rsidR="00FA145C" w:rsidRDefault="00B92F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Skundas nenagrinėjamas, jeigu:</w:t>
      </w:r>
    </w:p>
    <w:p w14:paraId="090E3B27" w14:textId="77777777" w:rsidR="00FA145C" w:rsidRDefault="00B92F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7.1</w:t>
      </w:r>
      <w:r>
        <w:rPr>
          <w:color w:val="000000"/>
        </w:rPr>
        <w:t xml:space="preserve">. jame nenurodytas asmens vardas, pavardė, adresas arba skundas asmens nepasirašytas; </w:t>
      </w:r>
    </w:p>
    <w:p w14:paraId="090E3B28" w14:textId="77777777" w:rsidR="00FA145C" w:rsidRDefault="00B92F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7.2</w:t>
      </w:r>
      <w:r>
        <w:rPr>
          <w:color w:val="000000"/>
        </w:rPr>
        <w:t>. tuo pačiu klausimu teismas jau yra priėmęs sprendimą arba krašto apsaugos ministras ar jo įgaliotas asmuo yra priėmęs sprendimą ir asmuo nepateikia naujų faktin</w:t>
      </w:r>
      <w:r>
        <w:rPr>
          <w:color w:val="000000"/>
        </w:rPr>
        <w:t>ių duomenų, leidžiančių ginčyti karo prievolę administruojančios krašto apsaugos sistemos institucijos, krašto apsaugos ministro ar jo įgalioto asmens sprendimą;</w:t>
      </w:r>
    </w:p>
    <w:p w14:paraId="090E3B29" w14:textId="77777777" w:rsidR="00FA145C" w:rsidRDefault="00B92FA8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7.3</w:t>
      </w:r>
      <w:r>
        <w:rPr>
          <w:color w:val="000000"/>
          <w:spacing w:val="-2"/>
        </w:rPr>
        <w:t>. nuo skunde nurodytų pažeidimų paaiškėjimo dienos iki skundo padavimo dienos yra praėj</w:t>
      </w:r>
      <w:r>
        <w:rPr>
          <w:color w:val="000000"/>
          <w:spacing w:val="-2"/>
        </w:rPr>
        <w:t>ę daugiau kaip 6 mėnesiai;</w:t>
      </w:r>
    </w:p>
    <w:p w14:paraId="090E3B2A" w14:textId="77777777" w:rsidR="00FA145C" w:rsidRDefault="00B92F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7.4</w:t>
      </w:r>
      <w:r>
        <w:rPr>
          <w:color w:val="000000"/>
        </w:rPr>
        <w:t>. pradėjus skundo nagrinėjimo procedūrą, skundą tuo pačiu klausimu pradėjo nagrinėti ir teismas. Tokiu atveju skundo nagrinėjimas sustabdomas, kol teismas išnagrinės skundą.</w:t>
      </w:r>
    </w:p>
    <w:p w14:paraId="090E3B2B" w14:textId="77777777" w:rsidR="00FA145C" w:rsidRDefault="00B92FA8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Apie sprendimą nenagrinėti skundo asmen</w:t>
      </w:r>
      <w:r>
        <w:rPr>
          <w:color w:val="000000"/>
        </w:rPr>
        <w:t>iui pranešama ne vėliau kaip per 14 darbo dienų nuo skundo gavimo dienos, išskyrus atvejus, kai skunde nenurodyta jokių asmens kontaktinių duomenų.</w:t>
      </w:r>
    </w:p>
    <w:p w14:paraId="090E3B2C" w14:textId="77777777" w:rsidR="00FA145C" w:rsidRDefault="00B92F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Komisijos narys negali dalyvauti svarstyme, kai asmuo, kurio veiksmai yra skundžiami, yra artimas sku</w:t>
      </w:r>
      <w:r>
        <w:rPr>
          <w:color w:val="000000"/>
        </w:rPr>
        <w:t>ndą padavusio asmens giminaitis arba yra aplinkybių, galinčių sukelti viešųjų ir privačiųjų interesų konfliktą.</w:t>
      </w:r>
    </w:p>
    <w:p w14:paraId="090E3B2D" w14:textId="77777777" w:rsidR="00FA145C" w:rsidRDefault="00B92F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Skundas turi būti baigtas nagrinėti ir pasiūlymai krašto apsaugos ministrui ar jo įgaliotam asmeniui suformuluoti per 12 dienų nuo skund</w:t>
      </w:r>
      <w:r>
        <w:rPr>
          <w:color w:val="000000"/>
        </w:rPr>
        <w:t>o gavimo Krašto apsaugos ministerijoje ar papildomų dokumentų padavimo dienos.</w:t>
      </w:r>
    </w:p>
    <w:p w14:paraId="090E3B2E" w14:textId="77777777" w:rsidR="00FA145C" w:rsidRDefault="00B92F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Komisija, išnagrinėjusi skundą, teikia krašto apsaugos ministrui ar jo įgaliotam asmeniui vieną iš šių pasiūlymų:</w:t>
      </w:r>
    </w:p>
    <w:p w14:paraId="090E3B2F" w14:textId="77777777" w:rsidR="00FA145C" w:rsidRDefault="00B92F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11.1</w:t>
      </w:r>
      <w:r>
        <w:rPr>
          <w:color w:val="000000"/>
        </w:rPr>
        <w:t>. palikti karo prievolę administruojančios krašto</w:t>
      </w:r>
      <w:r>
        <w:rPr>
          <w:color w:val="000000"/>
        </w:rPr>
        <w:t xml:space="preserve"> apsaugos sistemos institucijos sprendimą nepakeistą;</w:t>
      </w:r>
    </w:p>
    <w:p w14:paraId="090E3B30" w14:textId="77777777" w:rsidR="00FA145C" w:rsidRDefault="00B92F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11.2</w:t>
      </w:r>
      <w:r>
        <w:rPr>
          <w:color w:val="000000"/>
        </w:rPr>
        <w:t>. pakeisti karo prievolę administruojančios krašto apsaugos sistemos institucijos sprendimą;</w:t>
      </w:r>
    </w:p>
    <w:p w14:paraId="090E3B31" w14:textId="77777777" w:rsidR="00FA145C" w:rsidRDefault="00B92F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11.3</w:t>
      </w:r>
      <w:r>
        <w:rPr>
          <w:color w:val="000000"/>
        </w:rPr>
        <w:t>. panaikinti karo prievolę administruojančios krašto apsaugos sistemos institucijos sprendimą</w:t>
      </w:r>
      <w:r>
        <w:rPr>
          <w:color w:val="000000"/>
        </w:rPr>
        <w:t>.</w:t>
      </w:r>
    </w:p>
    <w:p w14:paraId="090E3B32" w14:textId="77777777" w:rsidR="00FA145C" w:rsidRDefault="00B92F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Komisijos sprendimai yra rekomendacinio pobūdžio.</w:t>
      </w:r>
    </w:p>
    <w:p w14:paraId="090E3B33" w14:textId="77777777" w:rsidR="00FA145C" w:rsidRDefault="00B92F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 xml:space="preserve">. Krašto apsaugos ministras ar jo įgaliotas asmuo, gavęs vieną iš Tvarkos aprašo 11 punkte nurodytų pasiūlymų, priima sprendimą, apie kurį Krašto apsaugos ministerijos raštu informuojamas </w:t>
      </w:r>
      <w:r>
        <w:rPr>
          <w:color w:val="000000"/>
        </w:rPr>
        <w:t>skundą pateikęs asmuo. Asmens pageidavimu nuskenuotas raštas gali būti pateikiamas elektroniniu paštu.</w:t>
      </w:r>
    </w:p>
    <w:p w14:paraId="090E3B34" w14:textId="77777777" w:rsidR="00FA145C" w:rsidRDefault="00B92F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Krašto apsaugos ministro ar jo įgalioto asmens sprendimas dėl skundo priimamas per 14 darbo dienų nuo skundo gavimo Krašto apsaugos ministerijoje</w:t>
      </w:r>
      <w:r>
        <w:rPr>
          <w:color w:val="000000"/>
        </w:rPr>
        <w:t xml:space="preserve"> dienos.</w:t>
      </w:r>
    </w:p>
    <w:p w14:paraId="090E3B35" w14:textId="77777777" w:rsidR="00FA145C" w:rsidRDefault="00B92FA8">
      <w:pPr>
        <w:widowControl w:val="0"/>
        <w:suppressAutoHyphens/>
        <w:ind w:firstLine="567"/>
        <w:jc w:val="both"/>
        <w:rPr>
          <w:color w:val="000000"/>
        </w:rPr>
      </w:pPr>
    </w:p>
    <w:p w14:paraId="090E3B36" w14:textId="77777777" w:rsidR="00FA145C" w:rsidRDefault="00B92FA8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BAIGIAMOSIOS NUOSTATOS</w:t>
      </w:r>
    </w:p>
    <w:p w14:paraId="090E3B37" w14:textId="77777777" w:rsidR="00FA145C" w:rsidRDefault="00FA145C">
      <w:pPr>
        <w:widowControl w:val="0"/>
        <w:suppressAutoHyphens/>
        <w:ind w:firstLine="567"/>
        <w:jc w:val="both"/>
        <w:rPr>
          <w:color w:val="000000"/>
        </w:rPr>
      </w:pPr>
    </w:p>
    <w:p w14:paraId="090E3B38" w14:textId="77777777" w:rsidR="00FA145C" w:rsidRDefault="00B92FA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. Krašto apsaugos ministro ar jo įgalioto asmens sprendimas per 10 dienų nuo jo gavimo dienos gali būti skundžiamas administraciniam teismui Administracinių bylų teisenos įstatymo nustatyta tvarka.</w:t>
      </w:r>
    </w:p>
    <w:p w14:paraId="090E3B39" w14:textId="77777777" w:rsidR="00FA145C" w:rsidRDefault="00B92FA8"/>
    <w:bookmarkStart w:id="0" w:name="_GoBack" w:displacedByCustomXml="prev"/>
    <w:p w14:paraId="090E3B3A" w14:textId="77777777" w:rsidR="00FA145C" w:rsidRDefault="00B92FA8">
      <w:pPr>
        <w:jc w:val="center"/>
      </w:pPr>
      <w:r>
        <w:t>_________________</w:t>
      </w:r>
    </w:p>
    <w:p w14:paraId="090E3B3B" w14:textId="77777777" w:rsidR="00FA145C" w:rsidRDefault="00FA145C"/>
    <w:p w14:paraId="090E3B3C" w14:textId="77777777" w:rsidR="00FA145C" w:rsidRDefault="00B92FA8"/>
    <w:bookmarkEnd w:id="0" w:displacedByCustomXml="next"/>
    <w:sectPr w:rsidR="00FA145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E3B40" w14:textId="77777777" w:rsidR="00FA145C" w:rsidRDefault="00B92FA8">
      <w:r>
        <w:separator/>
      </w:r>
    </w:p>
  </w:endnote>
  <w:endnote w:type="continuationSeparator" w:id="0">
    <w:p w14:paraId="090E3B41" w14:textId="77777777" w:rsidR="00FA145C" w:rsidRDefault="00B9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3B44" w14:textId="77777777" w:rsidR="00FA145C" w:rsidRDefault="00FA145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3B45" w14:textId="77777777" w:rsidR="00FA145C" w:rsidRDefault="00FA145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3B47" w14:textId="77777777" w:rsidR="00FA145C" w:rsidRDefault="00FA145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E3B3E" w14:textId="77777777" w:rsidR="00FA145C" w:rsidRDefault="00B92FA8">
      <w:r>
        <w:separator/>
      </w:r>
    </w:p>
  </w:footnote>
  <w:footnote w:type="continuationSeparator" w:id="0">
    <w:p w14:paraId="090E3B3F" w14:textId="77777777" w:rsidR="00FA145C" w:rsidRDefault="00B92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3B42" w14:textId="77777777" w:rsidR="00FA145C" w:rsidRDefault="00FA145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3B43" w14:textId="77777777" w:rsidR="00FA145C" w:rsidRDefault="00FA145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3B46" w14:textId="77777777" w:rsidR="00FA145C" w:rsidRDefault="00FA145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A6"/>
    <w:rsid w:val="00AE0AA6"/>
    <w:rsid w:val="00B92FA8"/>
    <w:rsid w:val="00F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0E3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9CE9C91C255"/>
  <Relationship Id="rId11" Type="http://schemas.openxmlformats.org/officeDocument/2006/relationships/hyperlink" TargetMode="External" Target="https://www.e-tar.lt/portal/lt/legalAct/TAR.B6AF7CC3E0DC"/>
  <Relationship Id="rId12" Type="http://schemas.openxmlformats.org/officeDocument/2006/relationships/hyperlink" TargetMode="External" Target="https://www.e-tar.lt/portal/lt/legalAct/TAR.E9CE9C91C255"/>
  <Relationship Id="rId13" Type="http://schemas.openxmlformats.org/officeDocument/2006/relationships/hyperlink" TargetMode="External" Target="https://www.e-tar.lt/portal/lt/legalAct/TAR.B6AF7CC3E0DC"/>
  <Relationship Id="rId14" Type="http://schemas.openxmlformats.org/officeDocument/2006/relationships/hyperlink" TargetMode="External" Target="https://www.e-tar.lt/portal/lt/legalAct/TAR.15C705E93776"/>
  <Relationship Id="rId15" Type="http://schemas.openxmlformats.org/officeDocument/2006/relationships/hyperlink" TargetMode="External" Target="https://www.e-tar.lt/portal/lt/legalAct/TAR.0BDFFD850A66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styles" Target="style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3568</Words>
  <Characters>2035</Characters>
  <Application>Microsoft Office Word</Application>
  <DocSecurity>0</DocSecurity>
  <Lines>16</Lines>
  <Paragraphs>11</Paragraphs>
  <ScaleCrop>false</ScaleCrop>
  <Company/>
  <LinksUpToDate>false</LinksUpToDate>
  <CharactersWithSpaces>5592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2015-05-07T10:41:00Z</dcterms:created>
  <dc:creator>Rima</dc:creator>
  <lastModifiedBy>PETRAUSKAITĖ Girmantė</lastModifiedBy>
  <dcterms:modified xsi:type="dcterms:W3CDTF">2015-05-07T10:43:00Z</dcterms:modified>
  <revision>3</revision>
  <dc:title>LIETUVOS RESPUBLIKOS KRAŠTO APSAUGOS MINISTRO</dc:title>
</coreProperties>
</file>