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 xml:space="preserve">LIETUVOS RESPUBLIKOS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GELEŽINKELIŲ TRANSPORTO KODEKSO PATVIRTINIMO,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ĮSIGALIOJIMO IR TAIKYMO ĮSTATYMO </w:t>
        <w:br/>
        <w:t xml:space="preserve">2 IR 4 STRAIPSNIŲ PAKEITIMO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rugsėjo 22 d. Nr. XI-1596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2004, Nr. </w:t>
      </w:r>
      <w:fldSimple w:instr="HYPERLINK https://www.e-tar.lt/portal/lt/legalAct/TAR.6EA8AC8A483B \t _blank">
        <w:r>
          <w:rPr>
            <w:color w:val="0000FF" w:themeColor="hyperlink"/>
            <w:u w:color="0000FF" w:val="single"/>
          </w:rPr>
          <w:t>72-2489</w:t>
        </w:r>
      </w:fldSimple>
      <w:r>
        <w:rPr>
          <w:color w:val="000000"/>
        </w:rPr>
        <w:t xml:space="preserve">; 2006, Nr. </w:t>
      </w:r>
      <w:fldSimple w:instr="HYPERLINK https://www.e-tar.lt/portal/lt/legalAct/TAR.203BD3B78E9B \t _blank">
        <w:r>
          <w:rPr>
            <w:color w:val="0000FF" w:themeColor="hyperlink"/>
            <w:u w:color="0000FF" w:val="single"/>
          </w:rPr>
          <w:t>72-2672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 straipsnio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2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straipsnį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Geležinkelių transporto kodekso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Geležinkelių transporto kodeksas įsigalioja 2004 m. gegužės 1 d.“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 straipsnio 2 dalies pripažinimas netekusia galios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 straipsnio 2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dalį pripažinti netekusia galios.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592</Characters>
  <Application>Microsoft Office Word</Application>
  <DocSecurity>4</DocSecurity>
  <Lines>26</Lines>
  <Paragraphs>18</Paragraphs>
  <ScaleCrop>false</ScaleCrop>
  <Company/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2015-10-04T05:30:00Z</dcterms:created>
  <dc:creator>Rima</dc:creator>
  <lastModifiedBy>Adlib User</lastModifiedBy>
  <dcterms:modified xsi:type="dcterms:W3CDTF">2015-10-04T05:30:00Z</dcterms:modified>
  <revision>2</revision>
  <dc:title>LIETUVOS RESPUBLIKOS GELEŽINKELIŲ TRANSPORTO KODEKSO PATVIRTINIMO, ĮSIGALIOJIMO IR TAIKYMO ĮSTATYMO 2 IR 4 STRAIPSNIŲ PAKEITIMO ĮSTATYMAS</dc:title>
</coreProperties>
</file>