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14E9" w14:textId="77777777" w:rsidR="00F00EF9" w:rsidRDefault="00343F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15AA152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15AA14EA" w14:textId="77777777" w:rsidR="00F00EF9" w:rsidRDefault="00343F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SVEIKATOS APSAUGOS MINISTRO</w:t>
      </w:r>
    </w:p>
    <w:p w14:paraId="15AA14EB" w14:textId="77777777" w:rsidR="00F00EF9" w:rsidRDefault="00343F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5AA14EC" w14:textId="77777777" w:rsidR="00F00EF9" w:rsidRDefault="00F00EF9">
      <w:pPr>
        <w:widowControl w:val="0"/>
        <w:suppressAutoHyphens/>
        <w:jc w:val="center"/>
        <w:rPr>
          <w:color w:val="000000"/>
        </w:rPr>
      </w:pPr>
    </w:p>
    <w:p w14:paraId="15AA14ED" w14:textId="77777777" w:rsidR="00F00EF9" w:rsidRDefault="00343F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</w:rPr>
        <w:br/>
        <w:t>2006 m. LAPKRIČIO 28 d. ĮSAKYMO Nr. V-1011 „DĖL VAISTINIŲ PREKIŲ GRUPIŲ SĄRAŠO PATVIRTINIMO“ PAKEITI</w:t>
      </w:r>
      <w:r>
        <w:rPr>
          <w:b/>
          <w:bCs/>
          <w:caps/>
          <w:color w:val="000000"/>
        </w:rPr>
        <w:t>MO</w:t>
      </w:r>
    </w:p>
    <w:p w14:paraId="15AA14EE" w14:textId="77777777" w:rsidR="00F00EF9" w:rsidRDefault="00F00EF9">
      <w:pPr>
        <w:widowControl w:val="0"/>
        <w:suppressAutoHyphens/>
        <w:jc w:val="center"/>
        <w:rPr>
          <w:color w:val="000000"/>
        </w:rPr>
      </w:pPr>
    </w:p>
    <w:p w14:paraId="15AA14EF" w14:textId="77777777" w:rsidR="00F00EF9" w:rsidRDefault="00343F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28 d. Nr. V-646</w:t>
      </w:r>
    </w:p>
    <w:p w14:paraId="15AA14F0" w14:textId="77777777" w:rsidR="00F00EF9" w:rsidRDefault="00343F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5AA14F1" w14:textId="77777777" w:rsidR="00F00EF9" w:rsidRDefault="00F00EF9">
      <w:pPr>
        <w:widowControl w:val="0"/>
        <w:suppressAutoHyphens/>
        <w:jc w:val="center"/>
        <w:rPr>
          <w:color w:val="000000"/>
        </w:rPr>
      </w:pPr>
    </w:p>
    <w:p w14:paraId="01E77DD5" w14:textId="77777777" w:rsidR="00343F67" w:rsidRDefault="00343F67">
      <w:pPr>
        <w:widowControl w:val="0"/>
        <w:suppressAutoHyphens/>
        <w:jc w:val="center"/>
        <w:rPr>
          <w:color w:val="000000"/>
        </w:rPr>
      </w:pPr>
    </w:p>
    <w:p w14:paraId="15AA14F2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Lietuvos Respublikos sveikatos apsaugos ministro 2006 m. lapkričio 28 d. įsakymą Nr. V-1011 „Dėl </w:t>
      </w:r>
      <w:r>
        <w:rPr>
          <w:caps/>
          <w:color w:val="000000"/>
        </w:rPr>
        <w:t>v</w:t>
      </w:r>
      <w:r>
        <w:rPr>
          <w:color w:val="000000"/>
        </w:rPr>
        <w:t xml:space="preserve">aistinių prekių grupių sąrašo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132-5017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114-4651</w:t>
        </w:r>
      </w:hyperlink>
      <w:r>
        <w:rPr>
          <w:color w:val="000000"/>
        </w:rPr>
        <w:t xml:space="preserve">; 2008, Nr. </w:t>
      </w:r>
      <w:hyperlink r:id="rId12" w:tgtFrame="_blank" w:history="1">
        <w:r>
          <w:rPr>
            <w:color w:val="0000FF" w:themeColor="hyperlink"/>
            <w:u w:val="single"/>
          </w:rPr>
          <w:t>41-1513</w:t>
        </w:r>
      </w:hyperlink>
      <w:r>
        <w:rPr>
          <w:color w:val="000000"/>
        </w:rPr>
        <w:t>; 2009,</w:t>
      </w:r>
      <w:r>
        <w:rPr>
          <w:color w:val="000000"/>
        </w:rPr>
        <w:t xml:space="preserve"> Nr. </w:t>
      </w:r>
      <w:hyperlink r:id="rId13" w:tgtFrame="_blank" w:history="1">
        <w:r>
          <w:rPr>
            <w:color w:val="0000FF" w:themeColor="hyperlink"/>
            <w:u w:val="single"/>
          </w:rPr>
          <w:t>23-919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78-3245</w:t>
        </w:r>
      </w:hyperlink>
      <w:r>
        <w:rPr>
          <w:color w:val="000000"/>
        </w:rPr>
        <w:t>) ir išdėstau jį nauja redakcija:</w:t>
      </w:r>
    </w:p>
    <w:p w14:paraId="15AA14F3" w14:textId="77777777" w:rsidR="00F00EF9" w:rsidRDefault="00F00EF9">
      <w:pPr>
        <w:widowControl w:val="0"/>
        <w:suppressAutoHyphens/>
        <w:ind w:firstLine="567"/>
        <w:jc w:val="both"/>
        <w:rPr>
          <w:color w:val="000000"/>
        </w:rPr>
      </w:pPr>
    </w:p>
    <w:p w14:paraId="15AA14F4" w14:textId="77777777" w:rsidR="00F00EF9" w:rsidRDefault="00343F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caps/>
          <w:color w:val="000000"/>
        </w:rPr>
        <w:t>„</w:t>
      </w:r>
      <w:r>
        <w:rPr>
          <w:b/>
          <w:bCs/>
          <w:caps/>
          <w:color w:val="000000"/>
        </w:rPr>
        <w:t>LIETUVOS RESPUBLIKOS SVEIKATOS APSAUGO</w:t>
      </w:r>
      <w:r>
        <w:rPr>
          <w:b/>
          <w:bCs/>
          <w:caps/>
          <w:color w:val="000000"/>
        </w:rPr>
        <w:t>S MINISTRAS</w:t>
      </w:r>
    </w:p>
    <w:p w14:paraId="15AA14F5" w14:textId="77777777" w:rsidR="00F00EF9" w:rsidRDefault="00F00EF9">
      <w:pPr>
        <w:widowControl w:val="0"/>
        <w:suppressAutoHyphens/>
        <w:ind w:firstLine="567"/>
        <w:jc w:val="both"/>
        <w:rPr>
          <w:color w:val="000000"/>
        </w:rPr>
      </w:pPr>
    </w:p>
    <w:p w14:paraId="15AA14F6" w14:textId="77777777" w:rsidR="00F00EF9" w:rsidRDefault="00343F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ĮSAKYMAS</w:t>
      </w:r>
    </w:p>
    <w:p w14:paraId="15AA14F7" w14:textId="44FD95EB" w:rsidR="00F00EF9" w:rsidRDefault="00343F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VAISTINIŲ PREKIŲ GRUPIŲ SĄRAŠO PATVIRTINIMO</w:t>
      </w:r>
    </w:p>
    <w:p w14:paraId="15AA14F8" w14:textId="77777777" w:rsidR="00F00EF9" w:rsidRDefault="00F00EF9">
      <w:pPr>
        <w:widowControl w:val="0"/>
        <w:suppressAutoHyphens/>
        <w:ind w:firstLine="567"/>
        <w:jc w:val="both"/>
        <w:rPr>
          <w:color w:val="000000"/>
        </w:rPr>
      </w:pPr>
    </w:p>
    <w:p w14:paraId="15AA14F9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Vaistinių prekių grupių sąrašą (pridedama).</w:t>
      </w:r>
    </w:p>
    <w:p w14:paraId="15AA14FA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kad:</w:t>
      </w:r>
    </w:p>
    <w:p w14:paraId="15AA14FB" w14:textId="77777777" w:rsidR="00F00EF9" w:rsidRDefault="00343F67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2.1</w:t>
      </w:r>
      <w:r>
        <w:rPr>
          <w:color w:val="000000"/>
          <w:spacing w:val="-4"/>
        </w:rPr>
        <w:t xml:space="preserve">. vaistinėse, be vaistinių preparatų, galima parduoti (išduoti) tik Vaistinių prekių </w:t>
      </w:r>
      <w:r>
        <w:rPr>
          <w:color w:val="000000"/>
          <w:spacing w:val="-4"/>
        </w:rPr>
        <w:t>grupių sąrašo (toliau – Sąrašas) prekes;</w:t>
      </w:r>
    </w:p>
    <w:p w14:paraId="15AA14FC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Sąrašo prekėmis galima prekiauti ir vaistinių savitarnos skyriuose;</w:t>
      </w:r>
    </w:p>
    <w:p w14:paraId="15AA14FD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Sąrašo prekių laikymą, saugą ir kokybę vaistinėse kontroliuoja rinkos priežiūros institucijos pagal kompetenciją;</w:t>
      </w:r>
    </w:p>
    <w:p w14:paraId="15AA14FE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vaisti</w:t>
      </w:r>
      <w:r>
        <w:rPr>
          <w:color w:val="000000"/>
        </w:rPr>
        <w:t>nių prekėmis, priklausančiomis prekių grupėms, išvardytoms Sąrašo 1 punkte, prekiaujama teisės aktų nustatyta tvarka gavus Maisto tvarkymo subjekto patvirtinimo pažymėjimą;</w:t>
      </w:r>
    </w:p>
    <w:p w14:paraId="15AA14FF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 xml:space="preserve">. Sąrašo prekės turi būti laikomos atskirai nuo vaistinių preparatų: </w:t>
      </w:r>
    </w:p>
    <w:p w14:paraId="15AA1500" w14:textId="77777777" w:rsidR="00F00EF9" w:rsidRDefault="00343F67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2.5.1</w:t>
      </w:r>
      <w:r>
        <w:rPr>
          <w:color w:val="000000"/>
          <w:spacing w:val="-2"/>
        </w:rPr>
        <w:t>. vaistinės oficinoje (išskyrus savitarną) vaistinių prekės, priklausančios vaistinių prekių grupėms, išvardytoms Sąrašo 1 punkte (maisto produktai), turi būti laikomos atskirai nuo vaistinių prekių, priklausančių vaistinių prekių grupėms, išvardytoms Sąr</w:t>
      </w:r>
      <w:r>
        <w:rPr>
          <w:color w:val="000000"/>
          <w:spacing w:val="-2"/>
        </w:rPr>
        <w:t>ašo 2 punkte, t. y. atskirose lentynose arba toje pačioje lentynoje, bet  akivaizdžiai atskirtos (pvz., skirtukais ar paliekant tam tikrą (ne mažesnį kaip 5 cm) atstumą tarp prekių grupių). Maisto produktai turi būti laikomi vienoje zonoje, pažymėtoje „Mai</w:t>
      </w:r>
      <w:r>
        <w:rPr>
          <w:color w:val="000000"/>
          <w:spacing w:val="-2"/>
        </w:rPr>
        <w:t>sto produktai“. Šios zonos pažymėti bendru pavadinimu „Maisto produktai“ nereikia, jei vaistinių prekių (maisto produktų) laikymo vietos paženklinamos Sąrašo 1 punkte išvardytų vaistinių prekių grupių pavadinimais, pvz.: „Maisto papildai“, „Arbatos“, „Spec</w:t>
      </w:r>
      <w:r>
        <w:rPr>
          <w:color w:val="000000"/>
          <w:spacing w:val="-2"/>
        </w:rPr>
        <w:t>ialios paskirties maisto produktai“ ir kt. Kitų vaistinių prekių, priklausančių vaistinių prekių grupėms, išvardytoms Sąrašo 2 punkte, laikymo vietos gali būti paženklintos atitinkamais vaistinių prekių grupių pavadinimais, pvz.: „Medicinos prietaisai“, „K</w:t>
      </w:r>
      <w:r>
        <w:rPr>
          <w:color w:val="000000"/>
          <w:spacing w:val="-2"/>
        </w:rPr>
        <w:t>osmetikos gaminiai“ ir kt. Uždaruose stalčiuose vaistinių prekės sudedamos pagal vaistinės vidaus tvarką;</w:t>
      </w:r>
    </w:p>
    <w:p w14:paraId="15AA1501" w14:textId="77777777" w:rsidR="00F00EF9" w:rsidRDefault="00343F67"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2.5.2</w:t>
      </w:r>
      <w:r>
        <w:rPr>
          <w:color w:val="000000"/>
          <w:spacing w:val="-6"/>
        </w:rPr>
        <w:t xml:space="preserve">. vaistinės oficinos savitarnos skyriuose vaistinių prekės, priklausančios vaistinių prekių grupėms, išvardytoms Sąrašo 1 punkte (maisto </w:t>
      </w:r>
      <w:r>
        <w:rPr>
          <w:color w:val="000000"/>
          <w:spacing w:val="-6"/>
        </w:rPr>
        <w:t>produktai), turi būti laikomos vienoje oficinos savitarnos zonoje, pažymėtoje „Maisto produktai“, kurioje negali būti laikomos vaistinių prekės, priklausančios prekių grupėms, išvardytoms Sąrašo 2 punkte. Jeigu vaistinės savitarnos skyriuje vaistinių prekė</w:t>
      </w:r>
      <w:r>
        <w:rPr>
          <w:color w:val="000000"/>
          <w:spacing w:val="-6"/>
        </w:rPr>
        <w:t xml:space="preserve">ms (maisto produktams) skiriamas vienas prekybinis stelažas, turintis daugiau negu vieną lentyną, ant jų gali būti laikomos tik vaistinių prekės, priklausančios vaistinių prekių grupėms, </w:t>
      </w:r>
      <w:r>
        <w:rPr>
          <w:color w:val="000000"/>
          <w:spacing w:val="-6"/>
        </w:rPr>
        <w:lastRenderedPageBreak/>
        <w:t>išvardytoms Sąrašo 1 punkte (maisto produktai). Kai vaistinės oficino</w:t>
      </w:r>
      <w:r>
        <w:rPr>
          <w:color w:val="000000"/>
          <w:spacing w:val="-6"/>
        </w:rPr>
        <w:t>s savitarnos skyriuje vaistinių prekės (maisto produktai) išdėstomos atskirose lentynose, jas galima papildomai ženklinti Sąrašo 1 punkte išvardytų vaistinių prekių grupių pavadinimais: „Maisto papildai“, „Arbatos“, „Specialios paskirties maisto produktai“</w:t>
      </w:r>
      <w:r>
        <w:rPr>
          <w:color w:val="000000"/>
          <w:spacing w:val="-6"/>
        </w:rPr>
        <w:t xml:space="preserve"> ir kt. Savitarnos zonos pavadinimas „Maisto produktai“ turi būti aiškiai matomas. Kitų vaistinių prekių, priklausančių vaistinių prekių grupėms, išvardytoms Sąrašo 2 punkte, laikymo vietos gali būti ženklinamos atitinkamais vaistinių prekių grupių pavadin</w:t>
      </w:r>
      <w:r>
        <w:rPr>
          <w:color w:val="000000"/>
          <w:spacing w:val="-6"/>
        </w:rPr>
        <w:t>imais, pvz.: „Medicinos prietaisai“, „Kosmetikos gaminiai“ ir kt. Uždaruose stalčiuose vaistinių prekės sudedamos pagal vaistinės vidaus tvarką;</w:t>
      </w:r>
    </w:p>
    <w:p w14:paraId="15AA1502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2.5.3</w:t>
      </w:r>
      <w:r>
        <w:rPr>
          <w:color w:val="000000"/>
        </w:rPr>
        <w:t>. vaistinės atsargų patalpose vaistinių prekės, priklausančios vaistinių prekių grupėms, išvardytoms S</w:t>
      </w:r>
      <w:r>
        <w:rPr>
          <w:color w:val="000000"/>
        </w:rPr>
        <w:t>ąrašo 1 punkte (maisto produktai), turi būti laikomos vienoje atsargų patalpos zonoje (šios zonos paženklinti nebūtina).</w:t>
      </w:r>
    </w:p>
    <w:p w14:paraId="15AA1503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 p a r e i g o j u vaistinės veiklos ar gamybinės vaistinės veiklos licencijos turėtoją užtikrinti, kad Sąrašo prekių laiky</w:t>
      </w:r>
      <w:r>
        <w:rPr>
          <w:color w:val="000000"/>
        </w:rPr>
        <w:t xml:space="preserve">mo sąlygos atitiktų šio įsakymo 2.5 punkte nustatytas ir gamintojo nurodytas laikymo sąlygas. </w:t>
      </w:r>
    </w:p>
    <w:p w14:paraId="15AA1506" w14:textId="480F773D" w:rsidR="00F00EF9" w:rsidRDefault="00343F67" w:rsidP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 a v e d u įsakymo vykdymą kontroliuoti viceministrui pagal administruojamą sritį.“</w:t>
      </w:r>
    </w:p>
    <w:p w14:paraId="715AA3D6" w14:textId="523CFAD5" w:rsidR="00343F67" w:rsidRDefault="00343F67">
      <w:pPr>
        <w:widowControl w:val="0"/>
        <w:tabs>
          <w:tab w:val="right" w:pos="9071"/>
        </w:tabs>
        <w:suppressAutoHyphens/>
      </w:pPr>
    </w:p>
    <w:p w14:paraId="3091D4F1" w14:textId="77777777" w:rsidR="00343F67" w:rsidRDefault="00343F67">
      <w:pPr>
        <w:widowControl w:val="0"/>
        <w:tabs>
          <w:tab w:val="right" w:pos="9071"/>
        </w:tabs>
        <w:suppressAutoHyphens/>
      </w:pPr>
    </w:p>
    <w:p w14:paraId="65A2E86E" w14:textId="77777777" w:rsidR="00343F67" w:rsidRDefault="00343F67">
      <w:pPr>
        <w:widowControl w:val="0"/>
        <w:tabs>
          <w:tab w:val="right" w:pos="9071"/>
        </w:tabs>
        <w:suppressAutoHyphens/>
      </w:pPr>
    </w:p>
    <w:p w14:paraId="15AA1509" w14:textId="2D7E43C6" w:rsidR="00F00EF9" w:rsidRDefault="00343F67" w:rsidP="00343F67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14:paraId="15AA150A" w14:textId="77777777" w:rsidR="00F00EF9" w:rsidRDefault="00343F67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15AA150B" w14:textId="77777777" w:rsidR="00F00EF9" w:rsidRDefault="00343F67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sveikatos apsaugos ministro </w:t>
      </w:r>
    </w:p>
    <w:p w14:paraId="15AA150C" w14:textId="77777777" w:rsidR="00F00EF9" w:rsidRDefault="00343F67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2006 m. lapkričio 28 d. įsakymu Nr. V-1011</w:t>
      </w:r>
    </w:p>
    <w:p w14:paraId="15AA150D" w14:textId="77777777" w:rsidR="00F00EF9" w:rsidRDefault="00343F67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(Lietuvos Respublikos sveikatos apsaugos ministro </w:t>
      </w:r>
    </w:p>
    <w:p w14:paraId="15AA150E" w14:textId="77777777" w:rsidR="00F00EF9" w:rsidRDefault="00343F67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2011 m. birželio 28 d. įsakymo Nr. V-646 redakcija)</w:t>
      </w:r>
    </w:p>
    <w:p w14:paraId="15AA150F" w14:textId="77777777" w:rsidR="00F00EF9" w:rsidRDefault="00F00EF9">
      <w:pPr>
        <w:widowControl w:val="0"/>
        <w:suppressAutoHyphens/>
        <w:jc w:val="center"/>
        <w:rPr>
          <w:color w:val="000000"/>
        </w:rPr>
      </w:pPr>
    </w:p>
    <w:p w14:paraId="15AA1510" w14:textId="77777777" w:rsidR="00F00EF9" w:rsidRDefault="00343F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VAISTINIŲ PREKIŲ GRUPIŲ SĄRAŠAS</w:t>
      </w:r>
    </w:p>
    <w:p w14:paraId="15AA1511" w14:textId="77777777" w:rsidR="00F00EF9" w:rsidRDefault="00F00EF9">
      <w:pPr>
        <w:widowControl w:val="0"/>
        <w:suppressAutoHyphens/>
        <w:ind w:firstLine="567"/>
        <w:jc w:val="both"/>
        <w:rPr>
          <w:strike/>
          <w:color w:val="000000"/>
        </w:rPr>
      </w:pPr>
    </w:p>
    <w:p w14:paraId="15AA1512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1</w:t>
      </w:r>
      <w:r>
        <w:rPr>
          <w:b/>
          <w:bCs/>
          <w:color w:val="000000"/>
          <w:spacing w:val="-5"/>
        </w:rPr>
        <w:t>. Vaistinių prekių (maisto produktų) grupės, kuriomis prekiauti reikalingas Maisto tvarkymo subjekto patvirtinimo pažymėjimas:</w:t>
      </w:r>
    </w:p>
    <w:p w14:paraId="15AA1513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1.1</w:t>
      </w:r>
      <w:r>
        <w:rPr>
          <w:b/>
          <w:bCs/>
          <w:color w:val="000000"/>
        </w:rPr>
        <w:t>. Specialios paskirties maisto produktai.</w:t>
      </w:r>
    </w:p>
    <w:p w14:paraId="15AA1514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1.2</w:t>
      </w:r>
      <w:r>
        <w:rPr>
          <w:b/>
          <w:bCs/>
          <w:color w:val="000000"/>
        </w:rPr>
        <w:t xml:space="preserve">. Maisto papildai. </w:t>
      </w:r>
    </w:p>
    <w:p w14:paraId="15AA1515" w14:textId="77777777" w:rsidR="00F00EF9" w:rsidRDefault="00343F67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1.3</w:t>
      </w:r>
      <w:r>
        <w:rPr>
          <w:b/>
          <w:bCs/>
          <w:color w:val="000000"/>
          <w:spacing w:val="-2"/>
        </w:rPr>
        <w:t>. Natūralus mineralinis vanduo,</w:t>
      </w:r>
      <w:r>
        <w:rPr>
          <w:color w:val="000000"/>
          <w:spacing w:val="-2"/>
        </w:rPr>
        <w:t xml:space="preserve"> pripažintas V</w:t>
      </w:r>
      <w:r>
        <w:rPr>
          <w:color w:val="000000"/>
          <w:spacing w:val="-2"/>
        </w:rPr>
        <w:t xml:space="preserve">alstybinės visuomenės sveikatos priežiūros tarnybos prie Sveikatos apsaugos ministerijos arba kitos Europos Sąjungos valstybės narės kompetentingos institucijos, </w:t>
      </w:r>
      <w:r>
        <w:rPr>
          <w:b/>
          <w:bCs/>
          <w:color w:val="000000"/>
          <w:spacing w:val="-2"/>
        </w:rPr>
        <w:t>šaltinio vanduo, fasuotas geriamasis vanduo ir stalo vanduo.</w:t>
      </w:r>
    </w:p>
    <w:p w14:paraId="15AA1516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1.4</w:t>
      </w:r>
      <w:r>
        <w:rPr>
          <w:b/>
          <w:bCs/>
          <w:color w:val="000000"/>
        </w:rPr>
        <w:t>. Arbata.</w:t>
      </w:r>
    </w:p>
    <w:p w14:paraId="15AA1517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1.5</w:t>
      </w:r>
      <w:r>
        <w:rPr>
          <w:b/>
          <w:bCs/>
          <w:color w:val="000000"/>
        </w:rPr>
        <w:t>. Saldikl</w:t>
      </w:r>
      <w:r>
        <w:rPr>
          <w:b/>
          <w:bCs/>
          <w:color w:val="000000"/>
        </w:rPr>
        <w:t>iai, skirti pasaldinti maistą valgant.</w:t>
      </w:r>
    </w:p>
    <w:p w14:paraId="15AA1518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1.6</w:t>
      </w:r>
      <w:r>
        <w:rPr>
          <w:b/>
          <w:bCs/>
          <w:color w:val="000000"/>
        </w:rPr>
        <w:t>. Tablečių apvalkalai</w:t>
      </w:r>
      <w:r>
        <w:rPr>
          <w:color w:val="000000"/>
        </w:rPr>
        <w:t>, priklausantys 1704 90 99 pozicijai pagal Europos Bendrijos kombinuotąją nomenklatūrą, nustatytą 1987 m. liepos 23 d. Tarybos reglamentu (EEB) Nr. 2658/87 dėl tarifų ir statistinės nomenkl</w:t>
      </w:r>
      <w:r>
        <w:rPr>
          <w:color w:val="000000"/>
        </w:rPr>
        <w:t>atūros bei dėl Bendrojo muitų tarifo (OL 2004 m. specialusis leidimas, 2 skyrius, 2 tomas, p. 382), su paskutiniais pakeitimais, padarytais 2010 m. gruodžio 15 d. Europos Parlamento ir Tarybos reglamentu (ES) Nr. 1238/2010 (OL 2010 L 348, p. 36).</w:t>
      </w:r>
    </w:p>
    <w:p w14:paraId="15AA1519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1.7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Pastilės ir žirneliai</w:t>
      </w:r>
      <w:r>
        <w:rPr>
          <w:color w:val="000000"/>
        </w:rPr>
        <w:t>, priklausantys 1704 90 55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pozicijai pagal Europos Bendrijos kombinuotąją nomenklatūrą, nustatytą 1987 m. liepos 23 d. Tarybos reglamentu (EEB) Nr. 2658/87 dėl tarifų ir statistinės nomenklatūros bei dėl Bendrojo muitų tarifo (OL 2004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m. specialusis leidimas, 2 skyrius, 2 tomas, p. 382), su paskutiniais pakeitimais, padarytais 2010 m. gruodžio 15 d. Europos Parlamento ir Tarybos reglamentu (ES) Nr. 1238/2010 (OL 2010 L 348, p. 36).</w:t>
      </w:r>
    </w:p>
    <w:p w14:paraId="15AA151A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1.8</w:t>
      </w:r>
      <w:r>
        <w:rPr>
          <w:b/>
          <w:bCs/>
          <w:color w:val="000000"/>
        </w:rPr>
        <w:t>. Žiedadulkės ir bičių produktai.</w:t>
      </w:r>
    </w:p>
    <w:p w14:paraId="15AA151B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1.9</w:t>
      </w:r>
      <w:r>
        <w:rPr>
          <w:b/>
          <w:bCs/>
          <w:color w:val="000000"/>
        </w:rPr>
        <w:t>. Javai</w:t>
      </w:r>
      <w:r>
        <w:rPr>
          <w:b/>
          <w:bCs/>
          <w:color w:val="000000"/>
        </w:rPr>
        <w:t>niai.</w:t>
      </w:r>
    </w:p>
    <w:p w14:paraId="15AA151C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1.10</w:t>
      </w:r>
      <w:r>
        <w:rPr>
          <w:b/>
          <w:bCs/>
          <w:color w:val="000000"/>
        </w:rPr>
        <w:t>. Kramtomoji guma</w:t>
      </w:r>
      <w:r>
        <w:rPr>
          <w:color w:val="000000"/>
        </w:rPr>
        <w:t>, priklausanti 1704 10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ir 2106 90 98 pozicijoms pagal Europos Bendrijos kombinuotąją nomenklatūrą, nustatytą 1987 m. liepos 23 d. Tarybos reglamentu (EEB) Nr. 2658/87 dėl tarifų ir statistinės nomenklatūros bei dėl Bendrojo m</w:t>
      </w:r>
      <w:r>
        <w:rPr>
          <w:color w:val="000000"/>
        </w:rPr>
        <w:t>uitų tarifo (OL 2004 m. specialusis leidimas, 2 skyrius, 2 tomas, p. 382), su paskutiniais pakeitimais, padarytais 2010 m. gruodžio 15 d. Europos Parlamento ir Tarybos reglamentu (ES) Nr. 1238/2010 (OL 2010 L 348, p. 36).</w:t>
      </w:r>
    </w:p>
    <w:p w14:paraId="15AA151D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1.11</w:t>
      </w:r>
      <w:r>
        <w:rPr>
          <w:b/>
          <w:bCs/>
          <w:color w:val="000000"/>
        </w:rPr>
        <w:t>. Fasuotos vaisių, daržovi</w:t>
      </w:r>
      <w:r>
        <w:rPr>
          <w:b/>
          <w:bCs/>
          <w:color w:val="000000"/>
        </w:rPr>
        <w:t>ų, uogų sultys, sultys iš koncentrato ir nektarai.</w:t>
      </w:r>
    </w:p>
    <w:p w14:paraId="15AA151E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. Kitos vaistinių prekių grupės:</w:t>
      </w:r>
    </w:p>
    <w:p w14:paraId="15AA151F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2.1</w:t>
      </w:r>
      <w:r>
        <w:rPr>
          <w:b/>
          <w:bCs/>
          <w:color w:val="000000"/>
        </w:rPr>
        <w:t>. Medicinos prietaisai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>in vitro</w:t>
      </w:r>
      <w:r>
        <w:rPr>
          <w:b/>
          <w:bCs/>
          <w:color w:val="000000"/>
        </w:rPr>
        <w:t xml:space="preserve"> diagnostikos medicinos prietaisai</w:t>
      </w:r>
      <w:r>
        <w:rPr>
          <w:color w:val="000000"/>
        </w:rPr>
        <w:t>, atitinkantys medicinos prietaisų saugos techninių reglamentų reikalavimus, paženklinti CE že</w:t>
      </w:r>
      <w:r>
        <w:rPr>
          <w:color w:val="000000"/>
        </w:rPr>
        <w:t>nklu, su etiketėmis ir instrukcijomis valstybine kalba.</w:t>
      </w:r>
    </w:p>
    <w:p w14:paraId="15AA1520" w14:textId="77777777" w:rsidR="00F00EF9" w:rsidRDefault="00343F67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2.2</w:t>
      </w:r>
      <w:r>
        <w:rPr>
          <w:b/>
          <w:bCs/>
          <w:color w:val="000000"/>
          <w:spacing w:val="-2"/>
        </w:rPr>
        <w:t>. Neįgaliųjų judėjimo, regos ir klausos techninės pagalbos priemonės</w:t>
      </w:r>
      <w:r>
        <w:rPr>
          <w:color w:val="000000"/>
          <w:spacing w:val="-2"/>
        </w:rPr>
        <w:t>, įrašytos į Neįgaliųjų aprūpinimo techninės pagalbos priemonėmis ir šių priemonių įsigijimo išlaidų kompensavimo tvarkos apr</w:t>
      </w:r>
      <w:r>
        <w:rPr>
          <w:color w:val="000000"/>
          <w:spacing w:val="-2"/>
        </w:rPr>
        <w:t xml:space="preserve">ašo, patvirtinto Lietuvos Respublikos socialinės apsaugos ir darbo ministro 2006 m. gruodžio 19 d. įsakymu Nr. A1-338 (Žin., 2006, Nr. </w:t>
      </w:r>
      <w:hyperlink r:id="rId15" w:tgtFrame="_blank" w:history="1">
        <w:r>
          <w:rPr>
            <w:color w:val="0000FF" w:themeColor="hyperlink"/>
            <w:spacing w:val="-2"/>
            <w:u w:val="single"/>
          </w:rPr>
          <w:t>140-5368</w:t>
        </w:r>
      </w:hyperlink>
      <w:r>
        <w:rPr>
          <w:color w:val="000000"/>
          <w:spacing w:val="-2"/>
        </w:rPr>
        <w:t xml:space="preserve">; 2010, Nr. </w:t>
      </w:r>
      <w:hyperlink r:id="rId16" w:tgtFrame="_blank" w:history="1">
        <w:r>
          <w:rPr>
            <w:color w:val="0000FF" w:themeColor="hyperlink"/>
            <w:spacing w:val="-2"/>
            <w:u w:val="single"/>
          </w:rPr>
          <w:t>122-6242</w:t>
        </w:r>
      </w:hyperlink>
      <w:r>
        <w:rPr>
          <w:color w:val="000000"/>
          <w:spacing w:val="-2"/>
        </w:rPr>
        <w:t>), prieduose nurodytus sąrašus, ir nepriskiriamos Vaistinių prekių grupių sąrašo 2.1 punkte nurodytiems medicinos prietaisams.</w:t>
      </w:r>
    </w:p>
    <w:p w14:paraId="15AA1521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2.3</w:t>
      </w:r>
      <w:r>
        <w:rPr>
          <w:b/>
          <w:bCs/>
          <w:color w:val="000000"/>
        </w:rPr>
        <w:t>. Kosmetikos gaminiai</w:t>
      </w:r>
      <w:r>
        <w:rPr>
          <w:color w:val="000000"/>
        </w:rPr>
        <w:t xml:space="preserve">. </w:t>
      </w:r>
    </w:p>
    <w:p w14:paraId="15AA1522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2.4</w:t>
      </w:r>
      <w:r>
        <w:rPr>
          <w:b/>
          <w:bCs/>
          <w:color w:val="000000"/>
        </w:rPr>
        <w:t xml:space="preserve">. Biocidai </w:t>
      </w:r>
      <w:r>
        <w:rPr>
          <w:color w:val="000000"/>
        </w:rPr>
        <w:t>(1, 2, 4, 5 14,</w:t>
      </w:r>
      <w:r>
        <w:rPr>
          <w:color w:val="000000"/>
        </w:rPr>
        <w:t xml:space="preserve"> 18, 19, 20 tipo), autorizuoti ar registruoti Valstybinės visuomenės sveikatos priežiūros tarnybos prie Sveikatos apsaugos ministerijos ir turintys galiojantį biocido autorizacijos ar registracijos liudijimą.</w:t>
      </w:r>
    </w:p>
    <w:p w14:paraId="15AA1523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2.5</w:t>
      </w:r>
      <w:r>
        <w:rPr>
          <w:b/>
          <w:bCs/>
          <w:color w:val="000000"/>
        </w:rPr>
        <w:t>. Asmens higienos gaminiai.</w:t>
      </w:r>
    </w:p>
    <w:p w14:paraId="15AA1524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2.6</w:t>
      </w:r>
      <w:r>
        <w:rPr>
          <w:b/>
          <w:bCs/>
          <w:color w:val="000000"/>
        </w:rPr>
        <w:t>. Spe</w:t>
      </w:r>
      <w:r>
        <w:rPr>
          <w:b/>
          <w:bCs/>
          <w:color w:val="000000"/>
        </w:rPr>
        <w:t>cializuoti medicinos ir (arba) farmacijos bei sveikatinimą propaguojantys leidiniai</w:t>
      </w:r>
      <w:r>
        <w:rPr>
          <w:color w:val="000000"/>
        </w:rPr>
        <w:t>: knygos, laikraščiai, žurnalai, biuleteniai ar kiti leidiniai, kuriuose nėra receptinių vaistinių preparatų reklamos.</w:t>
      </w:r>
    </w:p>
    <w:p w14:paraId="15AA1525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2.7</w:t>
      </w:r>
      <w:r>
        <w:rPr>
          <w:b/>
          <w:bCs/>
          <w:color w:val="000000"/>
        </w:rPr>
        <w:t>. Fasuoti eteriniai aliejai</w:t>
      </w:r>
      <w:r>
        <w:rPr>
          <w:color w:val="000000"/>
        </w:rPr>
        <w:t>, priklausantys 3301</w:t>
      </w:r>
      <w:r>
        <w:rPr>
          <w:color w:val="000000"/>
        </w:rPr>
        <w:t xml:space="preserve"> pozicijai pagal Europos Bendrijos kombinuotąją nomenklatūrą, nustatytą 1987 m. liepos 23 d. Tarybos reglamentu (EEB) Nr. 2658/87 dėl tarifų ir statistinės nomenklatūros bei dėl Bendrojo muitų tarifo (OL 2004 m. specialusis leidimas, 2 skyrius, 2 tomas, p.</w:t>
      </w:r>
      <w:r>
        <w:rPr>
          <w:color w:val="000000"/>
        </w:rPr>
        <w:t xml:space="preserve"> 382), su paskutiniais pakeitimais, padarytais 2010 m. gruodžio 15 d. Europos Parlamento ir Tarybos reglamentu (ES) Nr. 1238/2010 (OL 2010 L 348, p. 36).</w:t>
      </w:r>
    </w:p>
    <w:p w14:paraId="15AA1526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2.8</w:t>
      </w:r>
      <w:r>
        <w:rPr>
          <w:b/>
          <w:bCs/>
          <w:color w:val="000000"/>
        </w:rPr>
        <w:t>. Distiliuotas vanduo</w:t>
      </w:r>
      <w:r>
        <w:rPr>
          <w:color w:val="000000"/>
        </w:rPr>
        <w:t>, atitinkantis LST EN ISO 3696: 1996 kokybės reikalavimus.</w:t>
      </w:r>
    </w:p>
    <w:p w14:paraId="15AA1527" w14:textId="77777777" w:rsidR="00F00EF9" w:rsidRDefault="00343F67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2.9</w:t>
      </w:r>
      <w:r>
        <w:rPr>
          <w:b/>
          <w:bCs/>
          <w:color w:val="000000"/>
        </w:rPr>
        <w:t>. Muziko</w:t>
      </w:r>
      <w:r>
        <w:rPr>
          <w:b/>
          <w:bCs/>
          <w:color w:val="000000"/>
        </w:rPr>
        <w:t>s ir šviesos terapijos priemonės.</w:t>
      </w:r>
    </w:p>
    <w:p w14:paraId="15AA1528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2.10</w:t>
      </w:r>
      <w:r>
        <w:rPr>
          <w:b/>
          <w:bCs/>
          <w:color w:val="000000"/>
        </w:rPr>
        <w:t>. Naujagimių, kūdikių, vaikų bei nėščiųjų ir mamų priežiūros priemonės ir (ar) prietaisai</w:t>
      </w:r>
      <w:r>
        <w:rPr>
          <w:color w:val="000000"/>
        </w:rPr>
        <w:t>.</w:t>
      </w:r>
    </w:p>
    <w:p w14:paraId="15AA1529" w14:textId="77777777" w:rsidR="00F00EF9" w:rsidRDefault="00343F67">
      <w:pPr>
        <w:widowControl w:val="0"/>
        <w:suppressAutoHyphens/>
        <w:ind w:firstLine="567"/>
        <w:jc w:val="both"/>
        <w:rPr>
          <w:color w:val="000000"/>
        </w:rPr>
      </w:pPr>
    </w:p>
    <w:p w14:paraId="15AA152C" w14:textId="3663FED3" w:rsidR="00F00EF9" w:rsidRDefault="00343F67" w:rsidP="00343F67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F00E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1530" w14:textId="77777777" w:rsidR="00F00EF9" w:rsidRDefault="00343F67">
      <w:r>
        <w:separator/>
      </w:r>
    </w:p>
  </w:endnote>
  <w:endnote w:type="continuationSeparator" w:id="0">
    <w:p w14:paraId="15AA1531" w14:textId="77777777" w:rsidR="00F00EF9" w:rsidRDefault="0034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4" w14:textId="77777777" w:rsidR="00F00EF9" w:rsidRDefault="00F00EF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5" w14:textId="77777777" w:rsidR="00F00EF9" w:rsidRDefault="00F00EF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7" w14:textId="77777777" w:rsidR="00F00EF9" w:rsidRDefault="00F00EF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152E" w14:textId="77777777" w:rsidR="00F00EF9" w:rsidRDefault="00343F67">
      <w:r>
        <w:separator/>
      </w:r>
    </w:p>
  </w:footnote>
  <w:footnote w:type="continuationSeparator" w:id="0">
    <w:p w14:paraId="15AA152F" w14:textId="77777777" w:rsidR="00F00EF9" w:rsidRDefault="0034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2" w14:textId="77777777" w:rsidR="00F00EF9" w:rsidRDefault="00F00EF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3" w14:textId="77777777" w:rsidR="00F00EF9" w:rsidRDefault="00F00EF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1536" w14:textId="77777777" w:rsidR="00F00EF9" w:rsidRDefault="00F00EF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B"/>
    <w:rsid w:val="00343F67"/>
    <w:rsid w:val="00E542FB"/>
    <w:rsid w:val="00F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A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3F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3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F5542708230"/>
  <Relationship Id="rId11" Type="http://schemas.openxmlformats.org/officeDocument/2006/relationships/hyperlink" TargetMode="External" Target="https://www.e-tar.lt/portal/lt/legalAct/TAR.B37D5E9AB528"/>
  <Relationship Id="rId12" Type="http://schemas.openxmlformats.org/officeDocument/2006/relationships/hyperlink" TargetMode="External" Target="https://www.e-tar.lt/portal/lt/legalAct/TAR.F5F09A76B109"/>
  <Relationship Id="rId13" Type="http://schemas.openxmlformats.org/officeDocument/2006/relationships/hyperlink" TargetMode="External" Target="https://www.e-tar.lt/portal/lt/legalAct/TAR.BACA86513303"/>
  <Relationship Id="rId14" Type="http://schemas.openxmlformats.org/officeDocument/2006/relationships/hyperlink" TargetMode="External" Target="https://www.e-tar.lt/portal/lt/legalAct/TAR.B2C2ACC765D5"/>
  <Relationship Id="rId15" Type="http://schemas.openxmlformats.org/officeDocument/2006/relationships/hyperlink" TargetMode="External" Target="https://www.e-tar.lt/portal/lt/legalAct/TAR.EE95A2A87EEF"/>
  <Relationship Id="rId16" Type="http://schemas.openxmlformats.org/officeDocument/2006/relationships/hyperlink" TargetMode="External" Target="https://www.e-tar.lt/portal/lt/legalAct/TAR.0239D5627604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6"/>
    <w:rsid w:val="00A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48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48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5936</Words>
  <Characters>3384</Characters>
  <Application>Microsoft Office Word</Application>
  <DocSecurity>0</DocSecurity>
  <Lines>28</Lines>
  <Paragraphs>18</Paragraphs>
  <ScaleCrop>false</ScaleCrop>
  <Company/>
  <LinksUpToDate>false</LinksUpToDate>
  <CharactersWithSpaces>9302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2015-09-05T01:48:00Z</dcterms:created>
  <dc:creator>Rima</dc:creator>
  <lastModifiedBy>PETRAUSKAITĖ Girmantė</lastModifiedBy>
  <dcterms:modified xsi:type="dcterms:W3CDTF">2015-11-02T12:29:00Z</dcterms:modified>
  <revision>3</revision>
  <dc:title>LIETUVOS RESPUBLIKOS SVEIKATOS APSAUGOS MINISTRO</dc:title>
</coreProperties>
</file>