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STATYBOS ĮSTATYMO 40 STRAIPSNIO PAKEITIMO </w:t>
      </w:r>
    </w:p>
    <w:p>
      <w:pPr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ĮSTATYMAS</w:t>
      </w:r>
    </w:p>
    <w:p>
      <w:pPr>
        <w:widowControl w:val="0"/>
        <w:suppressAutoHyphens/>
        <w:jc w:val="center"/>
        <w:rPr>
          <w:b/>
          <w:bC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gegužės 12 d. Nr. XI-1376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b/>
          <w:bC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1996, Nr. </w:t>
      </w:r>
      <w:fldSimple w:instr="HYPERLINK https://www.e-tar.lt/portal/lt/legalAct/TAR.F31E79DEC55D \t _blank">
        <w:r>
          <w:rPr>
            <w:color w:val="0000FF" w:themeColor="hyperlink"/>
            <w:u w:val="single"/>
          </w:rPr>
          <w:t>32-788</w:t>
        </w:r>
      </w:fldSimple>
      <w:r>
        <w:rPr>
          <w:color w:val="000000"/>
        </w:rPr>
        <w:t xml:space="preserve">; 2001, Nr. </w:t>
      </w:r>
      <w:fldSimple w:instr="HYPERLINK https://www.e-tar.lt/portal/lt/legalAct/TAR.80A638E6C263 \t _blank">
        <w:r>
          <w:rPr>
            <w:color w:val="0000FF" w:themeColor="hyperlink"/>
            <w:u w:val="single"/>
          </w:rPr>
          <w:t>101-3597</w:t>
        </w:r>
      </w:fldSimple>
      <w:r>
        <w:rPr>
          <w:color w:val="000000"/>
        </w:rPr>
        <w:t xml:space="preserve">; 2007, Nr. </w:t>
      </w:r>
      <w:fldSimple w:instr="HYPERLINK https://www.e-tar.lt/portal/lt/legalAct/TAR.946EB061E6BD \t _blank">
        <w:r>
          <w:rPr>
            <w:color w:val="0000FF" w:themeColor="hyperlink"/>
            <w:u w:val="single"/>
          </w:rPr>
          <w:t>55-2127</w:t>
        </w:r>
      </w:fldSimple>
      <w:r>
        <w:rPr>
          <w:color w:val="000000"/>
        </w:rPr>
        <w:t xml:space="preserve">; 2010, Nr. </w:t>
      </w:r>
      <w:fldSimple w:instr="HYPERLINK https://www.e-tar.lt/portal/lt/legalAct/TAR.B762CFB3EC0F \t _blank">
        <w:r>
          <w:rPr>
            <w:color w:val="0000FF" w:themeColor="hyperlink"/>
            <w:u w:val="single"/>
          </w:rPr>
          <w:t>84-4401</w:t>
        </w:r>
      </w:fldSimple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40 straipsnio 1 punkto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40 straipsnio 1 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) naudoti statinį (jo patalpas) pagal paskirtį, išskyrus Vyriausybės nustatytus atvejus ir tvarką;“.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 ir įgyvendinimas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įstatymas, išskyrus šio straipsnio 2 dalį, įsigalioja 2011 m. liepos 1 d.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Lietuvos Respublikos Vyriausybė iki šio įstatymo įsigaliojimo parengia ir patvirtina šio įstatymo įgyvendinamuosius teisės aktus.</w:t>
      </w: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692</Characters>
  <Application>Microsoft Office Word</Application>
  <DocSecurity>4</DocSecurity>
  <Lines>25</Lines>
  <Paragraphs>17</Paragraphs>
  <ScaleCrop>false</ScaleCrop>
  <Company/>
  <LinksUpToDate>false</LinksUpToDate>
  <CharactersWithSpaces>782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2015-07-03T01:06:00Z</dcterms:created>
  <dc:creator>Rima</dc:creator>
  <lastModifiedBy>Adlib User</lastModifiedBy>
  <dcterms:modified xsi:type="dcterms:W3CDTF">2015-07-03T01:06:00Z</dcterms:modified>
  <revision>2</revision>
  <dc:title>LIETUVOS RESPUBLIKOS STATYBOS ĮSTATYMO 40 STRAIPSNIO PAKEITIMO ĮSTATYMAS</dc:title>
</coreProperties>
</file>