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VIETOS SAVIVALDOS ĮSTATYMO 13 STRAIPSNIO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2011 m. balandžio 14 d. Nr. XI-1323</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1994, Nr. </w:t>
      </w:r>
      <w:fldSimple w:instr="HYPERLINK https://www.e-tar.lt/portal/lt/legalAct/TAR.D0CD0966D67F \t _blank">
        <w:r>
          <w:rPr>
            <w:color w:val="0000FF" w:themeColor="hyperlink"/>
            <w:u w:val="single"/>
          </w:rPr>
          <w:t>55-1049</w:t>
        </w:r>
      </w:fldSimple>
      <w:r>
        <w:rPr>
          <w:color w:val="000000"/>
        </w:rPr>
        <w:t xml:space="preserve">; 2008, Nr. </w:t>
      </w:r>
      <w:fldSimple w:instr="HYPERLINK https://www.e-tar.lt/portal/lt/legalAct/TAR.CF599A1A6DD5 \t _blank">
        <w:r>
          <w:rPr>
            <w:color w:val="0000FF" w:themeColor="hyperlink"/>
            <w:u w:val="single"/>
          </w:rPr>
          <w:t>113-4290</w:t>
        </w:r>
      </w:fldSimple>
      <w:r>
        <w:rPr>
          <w:color w:val="000000"/>
        </w:rPr>
        <w:t xml:space="preserve">; 2010, Nr. </w:t>
      </w:r>
      <w:fldSimple w:instr="HYPERLINK https://www.e-tar.lt/portal/lt/legalAct/TAR.C6D81071DC40 \t _blank">
        <w:r>
          <w:rPr>
            <w:color w:val="0000FF" w:themeColor="hyperlink"/>
            <w:u w:val="single"/>
          </w:rPr>
          <w:t>86-4525</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13 straipsnio 11 dalies pakeitimas</w:t>
      </w:r>
    </w:p>
    <w:p>
      <w:pPr>
        <w:widowControl w:val="0"/>
        <w:suppressAutoHyphens/>
        <w:ind w:firstLine="567"/>
        <w:jc w:val="both"/>
        <w:rPr>
          <w:color w:val="000000"/>
        </w:rPr>
      </w:pPr>
      <w:r>
        <w:rPr>
          <w:color w:val="000000"/>
        </w:rPr>
        <w:t>Pakeisti 13 straipsnio 11 dalį ir ją išdėstyti taip:</w:t>
      </w:r>
    </w:p>
    <w:p>
      <w:pPr>
        <w:widowControl w:val="0"/>
        <w:suppressAutoHyphens/>
        <w:ind w:firstLine="567"/>
        <w:jc w:val="both"/>
        <w:rPr>
          <w:color w:val="000000"/>
        </w:rPr>
      </w:pPr>
      <w:r>
        <w:rPr>
          <w:color w:val="000000"/>
        </w:rPr>
        <w:t>„</w:t>
      </w:r>
      <w:r>
        <w:rPr>
          <w:color w:val="000000"/>
        </w:rPr>
        <w:t>11</w:t>
      </w:r>
      <w:r>
        <w:rPr>
          <w:color w:val="000000"/>
        </w:rPr>
        <w:t>. Savivaldybės tarybos posėdžiai yra atviri. Posėdžio pirmininkas turi teisę leisti posėdyje kalbėti kviestiems asmenims. Jeigu savivaldybės tarybos posėdyje svarstomas klausimas yra susijęs su kitais posėdyje dalyvaujančiais asmenimis, jiems leidžiama užduoti klausimus pranešėjams ir kalbėti reglamento nustatyta tvarka. Kai yra techninės galimybės, savivaldybės tarybos nustatyta tvarka jos posėdžiai transliuojami interneto tinklalapyje.“</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straipsnio 2 dalį, įsigalioja 2011 m. liepos 1 d.</w:t>
      </w:r>
    </w:p>
    <w:p>
      <w:pPr>
        <w:widowControl w:val="0"/>
        <w:suppressAutoHyphens/>
        <w:ind w:firstLine="567"/>
        <w:jc w:val="both"/>
        <w:rPr>
          <w:color w:val="000000"/>
        </w:rPr>
      </w:pPr>
      <w:r>
        <w:rPr>
          <w:color w:val="000000"/>
        </w:rPr>
        <w:t>2</w:t>
      </w:r>
      <w:r>
        <w:rPr>
          <w:color w:val="000000"/>
        </w:rPr>
        <w:t>. Savivaldybių tarybos iki 2011 m. liepos 1 d. parengia ir patvirtina šio įstatymo 1 straipsnio nuostatoms įgyvendinti reikalingus savivaldybių tarybų veiklos reglamentų pakeitimus.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1034</Characters>
  <Application>Microsoft Office Word</Application>
  <DocSecurity>4</DocSecurity>
  <Lines>29</Lines>
  <Paragraphs>17</Paragraphs>
  <ScaleCrop>false</ScaleCrop>
  <Company/>
  <LinksUpToDate>false</LinksUpToDate>
  <CharactersWithSpaces>1168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2015-09-24T17:40:00Z</dcterms:created>
  <dc:creator>Rima</dc:creator>
  <lastModifiedBy>Adlib User</lastModifiedBy>
  <dcterms:modified xsi:type="dcterms:W3CDTF">2015-09-24T17:40:00Z</dcterms:modified>
  <revision>2</revision>
  <dc:title>LIETUVOS RESPUBLIKOS VIETOS SAVIVALDOS ĮSTATYMO 13 STRAIPSNIO PAKEITIMO ĮSTATYMAS</dc:title>
</coreProperties>
</file>