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504E" w14:textId="77777777" w:rsidR="00CF53CD" w:rsidRDefault="00640BF0">
      <w:pPr>
        <w:widowControl w:val="0"/>
        <w:suppressAutoHyphens/>
        <w:jc w:val="center"/>
        <w:rPr>
          <w:color w:val="000000"/>
        </w:rPr>
      </w:pPr>
      <w:r>
        <w:rPr>
          <w:color w:val="000000"/>
          <w:lang w:val="en-US"/>
        </w:rPr>
        <w:pict w14:anchorId="030250D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Pr>
          <w:color w:val="000000"/>
        </w:rPr>
        <w:t>LIETUVOS AUTOMOBILIŲ KELIŲ DIREKCIJOS</w:t>
      </w:r>
    </w:p>
    <w:p w14:paraId="0302504F" w14:textId="77777777" w:rsidR="00CF53CD" w:rsidRDefault="00640BF0">
      <w:pPr>
        <w:widowControl w:val="0"/>
        <w:suppressAutoHyphens/>
        <w:jc w:val="center"/>
        <w:rPr>
          <w:color w:val="000000"/>
        </w:rPr>
      </w:pPr>
      <w:r>
        <w:rPr>
          <w:color w:val="000000"/>
        </w:rPr>
        <w:t>PRIE SUSISIEKIMO MINISTERIJOS DIREKTORIAUS</w:t>
      </w:r>
    </w:p>
    <w:p w14:paraId="03025050" w14:textId="77777777" w:rsidR="00CF53CD" w:rsidRDefault="00640BF0">
      <w:pPr>
        <w:widowControl w:val="0"/>
        <w:suppressAutoHyphens/>
        <w:jc w:val="center"/>
        <w:rPr>
          <w:color w:val="000000"/>
          <w:spacing w:val="60"/>
        </w:rPr>
      </w:pPr>
      <w:r>
        <w:rPr>
          <w:color w:val="000000"/>
          <w:spacing w:val="60"/>
        </w:rPr>
        <w:t>ĮSAKYMAS</w:t>
      </w:r>
    </w:p>
    <w:p w14:paraId="03025051" w14:textId="77777777" w:rsidR="00CF53CD" w:rsidRDefault="00CF53CD">
      <w:pPr>
        <w:widowControl w:val="0"/>
        <w:suppressAutoHyphens/>
        <w:jc w:val="center"/>
        <w:rPr>
          <w:color w:val="000000"/>
        </w:rPr>
      </w:pPr>
    </w:p>
    <w:p w14:paraId="03025052" w14:textId="77777777" w:rsidR="00CF53CD" w:rsidRDefault="00640BF0">
      <w:pPr>
        <w:widowControl w:val="0"/>
        <w:suppressAutoHyphens/>
        <w:jc w:val="center"/>
        <w:rPr>
          <w:b/>
          <w:bCs/>
          <w:caps/>
          <w:color w:val="000000"/>
        </w:rPr>
      </w:pPr>
      <w:r>
        <w:rPr>
          <w:b/>
          <w:bCs/>
          <w:caps/>
          <w:color w:val="000000"/>
        </w:rPr>
        <w:t>DĖL LIETUVOS AUTOMOBILIŲ KELIŲ DIREKCIJOS PRIE SUSISIEKIMO MINISTERIJOS GENERALINIO DIREKTORIAUS 2004 M. GRUODŽIO 20 D. ĮSAKYMO Nr</w:t>
      </w:r>
      <w:r>
        <w:rPr>
          <w:b/>
          <w:bCs/>
          <w:caps/>
          <w:color w:val="000000"/>
        </w:rPr>
        <w:t>. V-303 „DĖL STATYBOS TAISYKLIŲ IR METODINIŲ NURODYMŲ PATVIRTINIMO“ PAKEITIMO</w:t>
      </w:r>
    </w:p>
    <w:p w14:paraId="03025053" w14:textId="77777777" w:rsidR="00CF53CD" w:rsidRDefault="00CF53CD">
      <w:pPr>
        <w:widowControl w:val="0"/>
        <w:suppressAutoHyphens/>
        <w:jc w:val="center"/>
        <w:rPr>
          <w:color w:val="000000"/>
        </w:rPr>
      </w:pPr>
    </w:p>
    <w:p w14:paraId="03025054" w14:textId="77777777" w:rsidR="00CF53CD" w:rsidRDefault="00640BF0">
      <w:pPr>
        <w:widowControl w:val="0"/>
        <w:suppressAutoHyphens/>
        <w:jc w:val="center"/>
        <w:rPr>
          <w:color w:val="000000"/>
        </w:rPr>
      </w:pPr>
      <w:r>
        <w:rPr>
          <w:color w:val="000000"/>
        </w:rPr>
        <w:t>2011 m. kovo 7 d. Nr. V-72</w:t>
      </w:r>
    </w:p>
    <w:p w14:paraId="03025055" w14:textId="77777777" w:rsidR="00CF53CD" w:rsidRDefault="00640BF0">
      <w:pPr>
        <w:widowControl w:val="0"/>
        <w:suppressAutoHyphens/>
        <w:jc w:val="center"/>
        <w:rPr>
          <w:color w:val="000000"/>
        </w:rPr>
      </w:pPr>
      <w:r>
        <w:rPr>
          <w:color w:val="000000"/>
        </w:rPr>
        <w:t>Vilnius</w:t>
      </w:r>
    </w:p>
    <w:p w14:paraId="03025056" w14:textId="77777777" w:rsidR="00CF53CD" w:rsidRDefault="00CF53CD">
      <w:pPr>
        <w:widowControl w:val="0"/>
        <w:suppressAutoHyphens/>
        <w:rPr>
          <w:color w:val="000000"/>
        </w:rPr>
      </w:pPr>
    </w:p>
    <w:p w14:paraId="03025057" w14:textId="77777777" w:rsidR="00CF53CD" w:rsidRDefault="00640BF0">
      <w:pPr>
        <w:widowControl w:val="0"/>
        <w:suppressAutoHyphens/>
        <w:ind w:firstLine="567"/>
        <w:jc w:val="both"/>
        <w:rPr>
          <w:color w:val="000000"/>
        </w:rPr>
      </w:pPr>
      <w:r>
        <w:rPr>
          <w:color w:val="000000"/>
          <w:spacing w:val="60"/>
        </w:rPr>
        <w:t>Pakeičiu</w:t>
      </w:r>
      <w:r>
        <w:rPr>
          <w:color w:val="000000"/>
        </w:rPr>
        <w:t xml:space="preserve"> statybos taisykles ST 188710638.07:2004 „Automobilių kelių metalinių ir plastikinių vandens pralaidų kartotiniai konstrukciniai spre</w:t>
      </w:r>
      <w:r>
        <w:rPr>
          <w:color w:val="000000"/>
        </w:rPr>
        <w:t xml:space="preserve">ndimai“, patvirtintas Lietuvos automobilių kelių direkcijos prie Susisiekimo ministerijos generalinio direktoriaus 2004 m. gruodžio 20 d. įsakymu Nr. V-303 „Dėl statybos taisyklių ir metodinių nurodymų patvirtinimo“ (Žin., 2004, Nr. </w:t>
      </w:r>
      <w:hyperlink r:id="rId10" w:tgtFrame="_blank" w:history="1">
        <w:r>
          <w:rPr>
            <w:color w:val="0000FF" w:themeColor="hyperlink"/>
            <w:u w:val="single"/>
          </w:rPr>
          <w:t>185-6885</w:t>
        </w:r>
      </w:hyperlink>
      <w:r>
        <w:rPr>
          <w:color w:val="000000"/>
        </w:rPr>
        <w:t xml:space="preserve">; 2008, Nr. </w:t>
      </w:r>
      <w:hyperlink r:id="rId11" w:tgtFrame="_blank" w:history="1">
        <w:r>
          <w:rPr>
            <w:color w:val="0000FF" w:themeColor="hyperlink"/>
            <w:u w:val="single"/>
          </w:rPr>
          <w:t>104-4017</w:t>
        </w:r>
      </w:hyperlink>
      <w:r>
        <w:rPr>
          <w:color w:val="000000"/>
        </w:rPr>
        <w:t>):</w:t>
      </w:r>
    </w:p>
    <w:p w14:paraId="03025058" w14:textId="77777777" w:rsidR="00CF53CD" w:rsidRDefault="00640BF0">
      <w:pPr>
        <w:widowControl w:val="0"/>
        <w:suppressAutoHyphens/>
        <w:ind w:firstLine="567"/>
        <w:jc w:val="both"/>
        <w:rPr>
          <w:color w:val="000000"/>
        </w:rPr>
      </w:pPr>
      <w:r>
        <w:rPr>
          <w:color w:val="000000"/>
        </w:rPr>
        <w:t>1</w:t>
      </w:r>
      <w:r>
        <w:rPr>
          <w:color w:val="000000"/>
        </w:rPr>
        <w:t>. Išdėstau taisyklių I dalies II skyriaus 2 punktą taip:</w:t>
      </w:r>
    </w:p>
    <w:p w14:paraId="03025059" w14:textId="77777777" w:rsidR="00CF53CD" w:rsidRDefault="00640BF0">
      <w:pPr>
        <w:widowControl w:val="0"/>
        <w:suppressAutoHyphens/>
        <w:ind w:firstLine="567"/>
        <w:jc w:val="both"/>
        <w:rPr>
          <w:color w:val="000000"/>
        </w:rPr>
      </w:pPr>
      <w:r>
        <w:rPr>
          <w:color w:val="000000"/>
        </w:rPr>
        <w:t>„</w:t>
      </w:r>
      <w:r>
        <w:rPr>
          <w:color w:val="000000"/>
        </w:rPr>
        <w:t>2</w:t>
      </w:r>
      <w:r>
        <w:rPr>
          <w:color w:val="000000"/>
        </w:rPr>
        <w:t>. Šios statybos taisyklė</w:t>
      </w:r>
      <w:r>
        <w:rPr>
          <w:color w:val="000000"/>
        </w:rPr>
        <w:t>s parengtos vadovaujantis šiais normatyviniais statybos techniniais dokumentais:</w:t>
      </w:r>
    </w:p>
    <w:p w14:paraId="0302505A" w14:textId="77777777" w:rsidR="00CF53CD" w:rsidRDefault="00640BF0">
      <w:pPr>
        <w:widowControl w:val="0"/>
        <w:suppressAutoHyphens/>
        <w:ind w:firstLine="567"/>
        <w:jc w:val="both"/>
        <w:rPr>
          <w:color w:val="000000"/>
        </w:rPr>
      </w:pPr>
      <w:r>
        <w:rPr>
          <w:color w:val="000000"/>
        </w:rPr>
        <w:t>2.1</w:t>
      </w:r>
      <w:r>
        <w:rPr>
          <w:color w:val="000000"/>
        </w:rPr>
        <w:t xml:space="preserve">. kelių techniniu reglamentu KTR 1.01:2008 „Automobilių keliai“ (Žin., 2008, Nr. </w:t>
      </w:r>
      <w:hyperlink r:id="rId12" w:tgtFrame="_blank" w:history="1">
        <w:r>
          <w:rPr>
            <w:color w:val="0000FF" w:themeColor="hyperlink"/>
            <w:u w:val="single"/>
          </w:rPr>
          <w:t>9-322</w:t>
        </w:r>
      </w:hyperlink>
      <w:r>
        <w:rPr>
          <w:color w:val="000000"/>
        </w:rPr>
        <w:t>);</w:t>
      </w:r>
    </w:p>
    <w:p w14:paraId="0302505B" w14:textId="77777777" w:rsidR="00CF53CD" w:rsidRDefault="00640BF0">
      <w:pPr>
        <w:widowControl w:val="0"/>
        <w:suppressAutoHyphens/>
        <w:ind w:firstLine="567"/>
        <w:jc w:val="both"/>
        <w:rPr>
          <w:color w:val="000000"/>
        </w:rPr>
      </w:pPr>
      <w:r>
        <w:rPr>
          <w:color w:val="000000"/>
        </w:rPr>
        <w:t>2.2</w:t>
      </w:r>
      <w:r>
        <w:rPr>
          <w:color w:val="000000"/>
        </w:rPr>
        <w:t xml:space="preserve">. statybos techninių reikalavimų reglamentu STR 2.06.02:2001 „Tiltai ir tuneliai. Bendrieji reikalavimai“ (Žin., 2001, Nr. </w:t>
      </w:r>
      <w:hyperlink r:id="rId13" w:tgtFrame="_blank" w:history="1">
        <w:r>
          <w:rPr>
            <w:color w:val="0000FF" w:themeColor="hyperlink"/>
            <w:u w:val="single"/>
          </w:rPr>
          <w:t>53-1899</w:t>
        </w:r>
      </w:hyperlink>
      <w:r>
        <w:rPr>
          <w:color w:val="000000"/>
        </w:rPr>
        <w:t>);</w:t>
      </w:r>
    </w:p>
    <w:p w14:paraId="0302505C" w14:textId="77777777" w:rsidR="00CF53CD" w:rsidRDefault="00640BF0">
      <w:pPr>
        <w:widowControl w:val="0"/>
        <w:suppressAutoHyphens/>
        <w:ind w:firstLine="567"/>
        <w:jc w:val="both"/>
        <w:rPr>
          <w:color w:val="000000"/>
        </w:rPr>
      </w:pPr>
      <w:r>
        <w:rPr>
          <w:color w:val="000000"/>
        </w:rPr>
        <w:t>2.3</w:t>
      </w:r>
      <w:r>
        <w:rPr>
          <w:color w:val="000000"/>
        </w:rPr>
        <w:t xml:space="preserve">. statybos techniniu reglamentu STR 1.01.04:2002 „Statybos produktai. Atitikties įvertinimas ir „CE“ ženklinimas“ (Žin., 2002, Nr. </w:t>
      </w:r>
      <w:hyperlink r:id="rId14" w:tgtFrame="_blank" w:history="1">
        <w:r>
          <w:rPr>
            <w:color w:val="0000FF" w:themeColor="hyperlink"/>
            <w:u w:val="single"/>
          </w:rPr>
          <w:t>54-2140</w:t>
        </w:r>
      </w:hyperlink>
      <w:r>
        <w:rPr>
          <w:color w:val="000000"/>
        </w:rPr>
        <w:t>);</w:t>
      </w:r>
    </w:p>
    <w:p w14:paraId="0302505D" w14:textId="77777777" w:rsidR="00CF53CD" w:rsidRDefault="00640BF0">
      <w:pPr>
        <w:widowControl w:val="0"/>
        <w:suppressAutoHyphens/>
        <w:ind w:firstLine="567"/>
        <w:jc w:val="both"/>
        <w:rPr>
          <w:color w:val="000000"/>
        </w:rPr>
      </w:pPr>
      <w:r>
        <w:rPr>
          <w:color w:val="000000"/>
        </w:rPr>
        <w:t>2.4</w:t>
      </w:r>
      <w:r>
        <w:rPr>
          <w:color w:val="000000"/>
        </w:rPr>
        <w:t>. statybos techniniu reglamen</w:t>
      </w:r>
      <w:r>
        <w:rPr>
          <w:color w:val="000000"/>
        </w:rPr>
        <w:t xml:space="preserve">tu STR 1.03.02:2008 „Statybos produktų atitikties deklaravimas“ (Žin., 2002, Nr. </w:t>
      </w:r>
      <w:hyperlink r:id="rId15" w:tgtFrame="_blank" w:history="1">
        <w:r>
          <w:rPr>
            <w:color w:val="0000FF" w:themeColor="hyperlink"/>
            <w:u w:val="single"/>
          </w:rPr>
          <w:t>54-2142</w:t>
        </w:r>
      </w:hyperlink>
      <w:r>
        <w:rPr>
          <w:color w:val="000000"/>
        </w:rPr>
        <w:t xml:space="preserve">; 2008, Nr. </w:t>
      </w:r>
      <w:hyperlink r:id="rId16" w:tgtFrame="_blank" w:history="1">
        <w:r>
          <w:rPr>
            <w:color w:val="0000FF" w:themeColor="hyperlink"/>
            <w:u w:val="single"/>
          </w:rPr>
          <w:t>47-1764</w:t>
        </w:r>
      </w:hyperlink>
      <w:r>
        <w:rPr>
          <w:color w:val="000000"/>
        </w:rPr>
        <w:t>);</w:t>
      </w:r>
    </w:p>
    <w:p w14:paraId="0302505E" w14:textId="77777777" w:rsidR="00CF53CD" w:rsidRDefault="00640BF0">
      <w:pPr>
        <w:widowControl w:val="0"/>
        <w:suppressAutoHyphens/>
        <w:ind w:firstLine="567"/>
        <w:jc w:val="both"/>
        <w:rPr>
          <w:color w:val="000000"/>
        </w:rPr>
      </w:pPr>
      <w:r>
        <w:rPr>
          <w:color w:val="000000"/>
        </w:rPr>
        <w:t>2.5</w:t>
      </w:r>
      <w:r>
        <w:rPr>
          <w:color w:val="000000"/>
        </w:rPr>
        <w:t xml:space="preserve">. statybos taisyklėmis ST 8871063.01:2002 „Automobilių kelių apvalių gelžbetoninių vandens pralaidų kartotiniai konstrukciniai sprendiniai“ (Žin., 2003, Nr. </w:t>
      </w:r>
      <w:hyperlink r:id="rId17" w:tgtFrame="_blank" w:history="1">
        <w:r>
          <w:rPr>
            <w:color w:val="0000FF" w:themeColor="hyperlink"/>
            <w:u w:val="single"/>
          </w:rPr>
          <w:t>3</w:t>
        </w:r>
        <w:r>
          <w:rPr>
            <w:color w:val="0000FF" w:themeColor="hyperlink"/>
            <w:u w:val="single"/>
          </w:rPr>
          <w:t>-86</w:t>
        </w:r>
      </w:hyperlink>
      <w:r>
        <w:rPr>
          <w:color w:val="000000"/>
        </w:rPr>
        <w:t>);</w:t>
      </w:r>
    </w:p>
    <w:p w14:paraId="0302505F" w14:textId="77777777" w:rsidR="00CF53CD" w:rsidRDefault="00640BF0">
      <w:pPr>
        <w:widowControl w:val="0"/>
        <w:suppressAutoHyphens/>
        <w:ind w:firstLine="567"/>
        <w:jc w:val="both"/>
        <w:rPr>
          <w:color w:val="000000"/>
          <w:spacing w:val="-6"/>
        </w:rPr>
      </w:pPr>
      <w:r>
        <w:rPr>
          <w:color w:val="000000"/>
          <w:spacing w:val="-6"/>
        </w:rPr>
        <w:t>2.6</w:t>
      </w:r>
      <w:r>
        <w:rPr>
          <w:color w:val="000000"/>
          <w:spacing w:val="-6"/>
        </w:rPr>
        <w:t>. statybos taisyklėmis ST 188710638.06:2004 „Automobilių kelių žemės sankasos įrengimas“ (Žin., 2002, Nr. 185-6885);</w:t>
      </w:r>
    </w:p>
    <w:p w14:paraId="03025060" w14:textId="77777777" w:rsidR="00CF53CD" w:rsidRDefault="00640BF0">
      <w:pPr>
        <w:widowControl w:val="0"/>
        <w:suppressAutoHyphens/>
        <w:ind w:firstLine="567"/>
        <w:jc w:val="both"/>
        <w:rPr>
          <w:color w:val="000000"/>
        </w:rPr>
      </w:pPr>
      <w:r>
        <w:rPr>
          <w:color w:val="000000"/>
        </w:rPr>
        <w:t>2.7</w:t>
      </w:r>
      <w:r>
        <w:rPr>
          <w:color w:val="000000"/>
        </w:rPr>
        <w:t>. Lietuvos standartu LST 1331 „Automobilių kelių gruntai. Terminai ir apibrėžimai. Klasifikacija“;</w:t>
      </w:r>
    </w:p>
    <w:p w14:paraId="03025061" w14:textId="77777777" w:rsidR="00CF53CD" w:rsidRDefault="00640BF0">
      <w:pPr>
        <w:widowControl w:val="0"/>
        <w:suppressAutoHyphens/>
        <w:ind w:firstLine="567"/>
        <w:jc w:val="both"/>
        <w:rPr>
          <w:color w:val="000000"/>
        </w:rPr>
      </w:pPr>
      <w:r>
        <w:rPr>
          <w:color w:val="000000"/>
        </w:rPr>
        <w:t>2.8</w:t>
      </w:r>
      <w:r>
        <w:rPr>
          <w:color w:val="000000"/>
        </w:rPr>
        <w:t>. statybos re</w:t>
      </w:r>
      <w:r>
        <w:rPr>
          <w:color w:val="000000"/>
        </w:rPr>
        <w:t xml:space="preserve">komendacijomis R 34-01 „Automobilių kelių pagrindai“ (Informaciniai pranešimai, 2002, Nr. </w:t>
      </w:r>
      <w:hyperlink r:id="rId18" w:tgtFrame="_blank" w:history="1">
        <w:r>
          <w:rPr>
            <w:color w:val="0000FF" w:themeColor="hyperlink"/>
            <w:u w:val="single"/>
          </w:rPr>
          <w:t>18-60</w:t>
        </w:r>
      </w:hyperlink>
      <w:r>
        <w:rPr>
          <w:color w:val="000000"/>
        </w:rPr>
        <w:t>);</w:t>
      </w:r>
    </w:p>
    <w:p w14:paraId="03025062" w14:textId="77777777" w:rsidR="00CF53CD" w:rsidRDefault="00640BF0">
      <w:pPr>
        <w:widowControl w:val="0"/>
        <w:suppressAutoHyphens/>
        <w:ind w:firstLine="567"/>
        <w:jc w:val="both"/>
        <w:rPr>
          <w:color w:val="000000"/>
          <w:spacing w:val="-2"/>
        </w:rPr>
      </w:pPr>
      <w:r>
        <w:rPr>
          <w:color w:val="000000"/>
          <w:spacing w:val="-2"/>
        </w:rPr>
        <w:t>2.9</w:t>
      </w:r>
      <w:r>
        <w:rPr>
          <w:color w:val="000000"/>
          <w:spacing w:val="-2"/>
        </w:rPr>
        <w:t>. statybos rekomendacijomis R 33-02 „Automobilių kelių inžineriniai geol</w:t>
      </w:r>
      <w:r>
        <w:rPr>
          <w:color w:val="000000"/>
          <w:spacing w:val="-2"/>
        </w:rPr>
        <w:t xml:space="preserve">oginiai tyrinėjimai“ (Žin., 2003, Nr. </w:t>
      </w:r>
      <w:hyperlink r:id="rId19" w:tgtFrame="_blank" w:history="1">
        <w:r>
          <w:rPr>
            <w:color w:val="0000FF" w:themeColor="hyperlink"/>
            <w:spacing w:val="-2"/>
            <w:u w:val="single"/>
          </w:rPr>
          <w:t>3-87</w:t>
        </w:r>
      </w:hyperlink>
      <w:r>
        <w:rPr>
          <w:color w:val="000000"/>
          <w:spacing w:val="-2"/>
        </w:rPr>
        <w:t>);</w:t>
      </w:r>
    </w:p>
    <w:p w14:paraId="03025063" w14:textId="77777777" w:rsidR="00CF53CD" w:rsidRDefault="00640BF0">
      <w:pPr>
        <w:widowControl w:val="0"/>
        <w:suppressAutoHyphens/>
        <w:ind w:firstLine="567"/>
        <w:jc w:val="both"/>
        <w:rPr>
          <w:color w:val="000000"/>
        </w:rPr>
      </w:pPr>
      <w:r>
        <w:rPr>
          <w:color w:val="000000"/>
        </w:rPr>
        <w:t>2.10</w:t>
      </w:r>
      <w:r>
        <w:rPr>
          <w:color w:val="000000"/>
        </w:rPr>
        <w:t xml:space="preserve">. Lietuvos standartu LST EN ISO 1461 „Geležies ir plieno gaminių lydalinės cinko dangos. Techniniai reikalavimai ir bandymo </w:t>
      </w:r>
      <w:r>
        <w:rPr>
          <w:color w:val="000000"/>
        </w:rPr>
        <w:t>metodai“;</w:t>
      </w:r>
    </w:p>
    <w:p w14:paraId="03025064" w14:textId="77777777" w:rsidR="00CF53CD" w:rsidRDefault="00640BF0">
      <w:pPr>
        <w:widowControl w:val="0"/>
        <w:suppressAutoHyphens/>
        <w:ind w:firstLine="567"/>
        <w:jc w:val="both"/>
        <w:rPr>
          <w:color w:val="000000"/>
        </w:rPr>
      </w:pPr>
      <w:r>
        <w:rPr>
          <w:color w:val="000000"/>
        </w:rPr>
        <w:t>2.11</w:t>
      </w:r>
      <w:r>
        <w:rPr>
          <w:color w:val="000000"/>
        </w:rPr>
        <w:t>. Lietuvos standartu LST EN ISO 12944-5 „Dažai ir lakai. Plieninių konstrukcijų apsauga nuo korozijos apsauginėmis dažų sistemomis. 5 dalis. Apsauginės dažų sistemos“;</w:t>
      </w:r>
    </w:p>
    <w:p w14:paraId="03025065" w14:textId="77777777" w:rsidR="00CF53CD" w:rsidRDefault="00640BF0">
      <w:pPr>
        <w:widowControl w:val="0"/>
        <w:suppressAutoHyphens/>
        <w:ind w:firstLine="567"/>
        <w:jc w:val="both"/>
        <w:rPr>
          <w:color w:val="000000"/>
        </w:rPr>
      </w:pPr>
      <w:r>
        <w:rPr>
          <w:color w:val="000000"/>
        </w:rPr>
        <w:t>2.12</w:t>
      </w:r>
      <w:r>
        <w:rPr>
          <w:color w:val="000000"/>
        </w:rPr>
        <w:t>. Lietuvos standartu LST EN ISO 14713:</w:t>
      </w:r>
    </w:p>
    <w:p w14:paraId="03025066" w14:textId="77777777" w:rsidR="00CF53CD" w:rsidRDefault="00640BF0">
      <w:pPr>
        <w:widowControl w:val="0"/>
        <w:suppressAutoHyphens/>
        <w:ind w:firstLine="567"/>
        <w:jc w:val="both"/>
        <w:rPr>
          <w:color w:val="000000"/>
        </w:rPr>
      </w:pPr>
      <w:r>
        <w:rPr>
          <w:color w:val="000000"/>
        </w:rPr>
        <w:t>2.12.1</w:t>
      </w:r>
      <w:r>
        <w:rPr>
          <w:color w:val="000000"/>
        </w:rPr>
        <w:t xml:space="preserve">. LST EN ISO </w:t>
      </w:r>
      <w:r>
        <w:rPr>
          <w:color w:val="000000"/>
        </w:rPr>
        <w:t>14713-1 „Cinko dangos. Konstrukcijose esančios geležies ir plieno apsaugos nuo korozijos gairės ir rekomendacijos. 1 dalis. Bendrieji projektavimo ir korozinio atsparumo principai“;</w:t>
      </w:r>
    </w:p>
    <w:p w14:paraId="03025067" w14:textId="77777777" w:rsidR="00CF53CD" w:rsidRDefault="00640BF0">
      <w:pPr>
        <w:widowControl w:val="0"/>
        <w:suppressAutoHyphens/>
        <w:ind w:firstLine="567"/>
        <w:jc w:val="both"/>
        <w:rPr>
          <w:color w:val="000000"/>
        </w:rPr>
      </w:pPr>
      <w:r>
        <w:rPr>
          <w:color w:val="000000"/>
        </w:rPr>
        <w:t>2.12.2</w:t>
      </w:r>
      <w:r>
        <w:rPr>
          <w:color w:val="000000"/>
        </w:rPr>
        <w:t>. LST EN ISO 14713-2 „Cinko dangos. Konstrukcijose esančios gele</w:t>
      </w:r>
      <w:r>
        <w:rPr>
          <w:color w:val="000000"/>
        </w:rPr>
        <w:t>žies ir plieno apsaugos nuo korozijos gairės ir rekomendacijos. 2 dalis. Karštasis cinkavimas“;</w:t>
      </w:r>
    </w:p>
    <w:p w14:paraId="03025068" w14:textId="77777777" w:rsidR="00CF53CD" w:rsidRDefault="00640BF0">
      <w:pPr>
        <w:widowControl w:val="0"/>
        <w:suppressAutoHyphens/>
        <w:ind w:firstLine="567"/>
        <w:jc w:val="both"/>
        <w:rPr>
          <w:color w:val="000000"/>
        </w:rPr>
      </w:pPr>
      <w:r>
        <w:rPr>
          <w:color w:val="000000"/>
        </w:rPr>
        <w:t>2.12.3</w:t>
      </w:r>
      <w:r>
        <w:rPr>
          <w:color w:val="000000"/>
        </w:rPr>
        <w:t>. LST EN ISO 14713-3 „Cinko dangos. Konstrukcijose esančios geležies ir plieno apsaugos nuo korozijos gairės ir rekomendacijos. 3 dalis. Difuzinis cin</w:t>
      </w:r>
      <w:r>
        <w:rPr>
          <w:color w:val="000000"/>
        </w:rPr>
        <w:t>kavimas“;</w:t>
      </w:r>
    </w:p>
    <w:p w14:paraId="03025069" w14:textId="77777777" w:rsidR="00CF53CD" w:rsidRDefault="00640BF0">
      <w:pPr>
        <w:widowControl w:val="0"/>
        <w:suppressAutoHyphens/>
        <w:ind w:firstLine="567"/>
        <w:jc w:val="both"/>
        <w:rPr>
          <w:color w:val="000000"/>
        </w:rPr>
      </w:pPr>
      <w:r>
        <w:rPr>
          <w:color w:val="000000"/>
        </w:rPr>
        <w:t>2.13</w:t>
      </w:r>
      <w:r>
        <w:rPr>
          <w:color w:val="000000"/>
        </w:rPr>
        <w:t xml:space="preserve">. Lietuvos standartu LST EN 10240 „Apsauginės plieninių vamzdžių vidaus ir (arba) </w:t>
      </w:r>
      <w:r>
        <w:rPr>
          <w:color w:val="000000"/>
        </w:rPr>
        <w:lastRenderedPageBreak/>
        <w:t>išorės dangos. Automatiniuose įrenginiuose lydalinio cinkavimo būdu dengiamų dangų techniniai reikalavimai“;</w:t>
      </w:r>
    </w:p>
    <w:p w14:paraId="0302506A" w14:textId="77777777" w:rsidR="00CF53CD" w:rsidRDefault="00640BF0">
      <w:pPr>
        <w:widowControl w:val="0"/>
        <w:suppressAutoHyphens/>
        <w:ind w:firstLine="567"/>
        <w:jc w:val="both"/>
        <w:rPr>
          <w:color w:val="000000"/>
        </w:rPr>
      </w:pPr>
      <w:r>
        <w:rPr>
          <w:color w:val="000000"/>
        </w:rPr>
        <w:t>2.14</w:t>
      </w:r>
      <w:r>
        <w:rPr>
          <w:color w:val="000000"/>
        </w:rPr>
        <w:t xml:space="preserve">. Lietuvos standartu LST EN ISO 9969 </w:t>
      </w:r>
      <w:r>
        <w:rPr>
          <w:color w:val="000000"/>
        </w:rPr>
        <w:t>„Termoplastikiniai vamzdžiai. Žiedinio standumo nustatymas“;</w:t>
      </w:r>
    </w:p>
    <w:p w14:paraId="0302506B" w14:textId="77777777" w:rsidR="00CF53CD" w:rsidRDefault="00640BF0">
      <w:pPr>
        <w:widowControl w:val="0"/>
        <w:suppressAutoHyphens/>
        <w:ind w:firstLine="567"/>
        <w:jc w:val="both"/>
        <w:rPr>
          <w:color w:val="000000"/>
        </w:rPr>
      </w:pPr>
      <w:r>
        <w:rPr>
          <w:color w:val="000000"/>
        </w:rPr>
        <w:t>2.15</w:t>
      </w:r>
      <w:r>
        <w:rPr>
          <w:color w:val="000000"/>
        </w:rPr>
        <w:t>. Lietuvos standartu LST EN ISO 13968 „Plastikinių vamzdynų ir kanalų sistemos. Termoplastikiniai vamzdžiai. Žiedinio lankstumo nustatymas“;</w:t>
      </w:r>
    </w:p>
    <w:p w14:paraId="0302506C" w14:textId="77777777" w:rsidR="00CF53CD" w:rsidRDefault="00640BF0">
      <w:pPr>
        <w:widowControl w:val="0"/>
        <w:suppressAutoHyphens/>
        <w:ind w:firstLine="567"/>
        <w:jc w:val="both"/>
        <w:rPr>
          <w:color w:val="000000"/>
        </w:rPr>
      </w:pPr>
      <w:r>
        <w:rPr>
          <w:color w:val="000000"/>
        </w:rPr>
        <w:t>2.16</w:t>
      </w:r>
      <w:r>
        <w:rPr>
          <w:color w:val="000000"/>
        </w:rPr>
        <w:t>. Lietuvos standartu LST EN 12091 „Sta</w:t>
      </w:r>
      <w:r>
        <w:rPr>
          <w:color w:val="000000"/>
        </w:rPr>
        <w:t>tybiniai termoizoliaciniai gaminiai. Atsparumo šalčiui nustatymas“;</w:t>
      </w:r>
    </w:p>
    <w:p w14:paraId="0302506D" w14:textId="77777777" w:rsidR="00CF53CD" w:rsidRDefault="00640BF0">
      <w:pPr>
        <w:widowControl w:val="0"/>
        <w:suppressAutoHyphens/>
        <w:ind w:firstLine="567"/>
        <w:jc w:val="both"/>
        <w:rPr>
          <w:color w:val="000000"/>
        </w:rPr>
      </w:pPr>
      <w:r>
        <w:rPr>
          <w:color w:val="000000"/>
        </w:rPr>
        <w:t>2.17</w:t>
      </w:r>
      <w:r>
        <w:rPr>
          <w:color w:val="000000"/>
        </w:rPr>
        <w:t>. Lietuvos standartu LST EN 1411 „Plastikinių vamzdynų ir kanalų sistemos. Termoplastikiniai vamzdžiai. Atsparumo išoriniams smūgiams nustatymas laiptų metodu“;</w:t>
      </w:r>
    </w:p>
    <w:p w14:paraId="0302506E" w14:textId="77777777" w:rsidR="00CF53CD" w:rsidRDefault="00640BF0">
      <w:pPr>
        <w:widowControl w:val="0"/>
        <w:suppressAutoHyphens/>
        <w:ind w:firstLine="567"/>
        <w:jc w:val="both"/>
        <w:rPr>
          <w:color w:val="000000"/>
        </w:rPr>
      </w:pPr>
      <w:r>
        <w:rPr>
          <w:color w:val="000000"/>
        </w:rPr>
        <w:t>2.18</w:t>
      </w:r>
      <w:r>
        <w:rPr>
          <w:color w:val="000000"/>
        </w:rPr>
        <w:t xml:space="preserve">. statybos </w:t>
      </w:r>
      <w:r>
        <w:rPr>
          <w:color w:val="000000"/>
        </w:rPr>
        <w:t xml:space="preserve">techniniu reglamentu STR 2.05.03:2003 „Statybinių konstrukcijų projektavimo pagrindai“ (Žin., 2003, Nr. </w:t>
      </w:r>
      <w:hyperlink r:id="rId20" w:tgtFrame="_blank" w:history="1">
        <w:r>
          <w:rPr>
            <w:color w:val="0000FF" w:themeColor="hyperlink"/>
            <w:u w:val="single"/>
          </w:rPr>
          <w:t>59-2682</w:t>
        </w:r>
      </w:hyperlink>
      <w:r>
        <w:rPr>
          <w:color w:val="000000"/>
        </w:rPr>
        <w:t>);</w:t>
      </w:r>
    </w:p>
    <w:p w14:paraId="0302506F" w14:textId="77777777" w:rsidR="00CF53CD" w:rsidRDefault="00640BF0">
      <w:pPr>
        <w:widowControl w:val="0"/>
        <w:suppressAutoHyphens/>
        <w:ind w:firstLine="567"/>
        <w:jc w:val="both"/>
        <w:rPr>
          <w:color w:val="000000"/>
        </w:rPr>
      </w:pPr>
      <w:r>
        <w:rPr>
          <w:color w:val="000000"/>
        </w:rPr>
        <w:t>2.19</w:t>
      </w:r>
      <w:r>
        <w:rPr>
          <w:color w:val="000000"/>
        </w:rPr>
        <w:t>. statybos techniniu reglamentu STR 2.05.04:2003 „Povei</w:t>
      </w:r>
      <w:r>
        <w:rPr>
          <w:color w:val="000000"/>
        </w:rPr>
        <w:t xml:space="preserve">kiai ir apkrovos“ (Žin., 2003, Nr. </w:t>
      </w:r>
      <w:hyperlink r:id="rId21" w:tgtFrame="_blank" w:history="1">
        <w:r>
          <w:rPr>
            <w:color w:val="0000FF" w:themeColor="hyperlink"/>
            <w:u w:val="single"/>
          </w:rPr>
          <w:t>59-2683</w:t>
        </w:r>
      </w:hyperlink>
      <w:r>
        <w:rPr>
          <w:color w:val="000000"/>
        </w:rPr>
        <w:t>);</w:t>
      </w:r>
    </w:p>
    <w:p w14:paraId="03025070" w14:textId="77777777" w:rsidR="00CF53CD" w:rsidRDefault="00640BF0">
      <w:pPr>
        <w:widowControl w:val="0"/>
        <w:suppressAutoHyphens/>
        <w:ind w:firstLine="567"/>
        <w:jc w:val="both"/>
        <w:rPr>
          <w:color w:val="000000"/>
        </w:rPr>
      </w:pPr>
      <w:r>
        <w:rPr>
          <w:color w:val="000000"/>
        </w:rPr>
        <w:t>2.20</w:t>
      </w:r>
      <w:r>
        <w:rPr>
          <w:color w:val="000000"/>
        </w:rPr>
        <w:t xml:space="preserve">. statybos techniniu reglamentu STR 2.05.03:2003 „Statybinių konstrukcijų projektavimo pagrindai“ (Žin., 2003, Nr. </w:t>
      </w:r>
      <w:hyperlink r:id="rId22" w:tgtFrame="_blank" w:history="1">
        <w:r>
          <w:rPr>
            <w:color w:val="0000FF" w:themeColor="hyperlink"/>
            <w:u w:val="single"/>
          </w:rPr>
          <w:t>59-2682</w:t>
        </w:r>
      </w:hyperlink>
      <w:r>
        <w:rPr>
          <w:color w:val="000000"/>
        </w:rPr>
        <w:t>);</w:t>
      </w:r>
    </w:p>
    <w:p w14:paraId="03025071" w14:textId="77777777" w:rsidR="00CF53CD" w:rsidRDefault="00640BF0">
      <w:pPr>
        <w:widowControl w:val="0"/>
        <w:suppressAutoHyphens/>
        <w:ind w:firstLine="567"/>
        <w:jc w:val="both"/>
        <w:rPr>
          <w:color w:val="000000"/>
          <w:spacing w:val="-6"/>
        </w:rPr>
      </w:pPr>
      <w:r>
        <w:rPr>
          <w:color w:val="000000"/>
          <w:spacing w:val="-6"/>
        </w:rPr>
        <w:t>2.21</w:t>
      </w:r>
      <w:r>
        <w:rPr>
          <w:color w:val="000000"/>
          <w:spacing w:val="-6"/>
        </w:rPr>
        <w:t>. Pettersson L., Sundquist H. 2010. „Design of soil steel composite bridges“ Fourth edition. Stockholm. ISSN 1103-4289;</w:t>
      </w:r>
    </w:p>
    <w:p w14:paraId="03025072" w14:textId="77777777" w:rsidR="00CF53CD" w:rsidRDefault="00640BF0">
      <w:pPr>
        <w:widowControl w:val="0"/>
        <w:suppressAutoHyphens/>
        <w:ind w:firstLine="567"/>
        <w:jc w:val="both"/>
        <w:rPr>
          <w:color w:val="000000"/>
        </w:rPr>
      </w:pPr>
      <w:r>
        <w:rPr>
          <w:color w:val="000000"/>
          <w:spacing w:val="-8"/>
        </w:rPr>
        <w:t>2.22</w:t>
      </w:r>
      <w:r>
        <w:rPr>
          <w:color w:val="000000"/>
          <w:spacing w:val="-8"/>
        </w:rPr>
        <w:t xml:space="preserve">. Lietuvos standartu LST EN 10346 </w:t>
      </w:r>
      <w:r>
        <w:rPr>
          <w:color w:val="000000"/>
          <w:spacing w:val="-8"/>
        </w:rPr>
        <w:t>„Ištisine lydaline danga dengti plokštieji plieniniai gaminiai. Techninės tiekimo sąlygos“;</w:t>
      </w:r>
    </w:p>
    <w:p w14:paraId="03025073" w14:textId="77777777" w:rsidR="00CF53CD" w:rsidRDefault="00640BF0">
      <w:pPr>
        <w:widowControl w:val="0"/>
        <w:suppressAutoHyphens/>
        <w:ind w:firstLine="567"/>
        <w:jc w:val="both"/>
        <w:rPr>
          <w:color w:val="000000"/>
        </w:rPr>
      </w:pPr>
      <w:r>
        <w:rPr>
          <w:color w:val="000000"/>
        </w:rPr>
        <w:t>2.23</w:t>
      </w:r>
      <w:r>
        <w:rPr>
          <w:color w:val="000000"/>
        </w:rPr>
        <w:t>. Lietuvos standartu LST EN 10169-2 „Plokštieji plieno gaminiai, ritiniuose tolydžiai dengti organine danga. 2 dalis. Gaminiai, naudojami pastatų išorėje“;</w:t>
      </w:r>
    </w:p>
    <w:p w14:paraId="03025074" w14:textId="77777777" w:rsidR="00CF53CD" w:rsidRDefault="00640BF0">
      <w:pPr>
        <w:widowControl w:val="0"/>
        <w:suppressAutoHyphens/>
        <w:ind w:firstLine="567"/>
        <w:jc w:val="both"/>
        <w:rPr>
          <w:color w:val="000000"/>
        </w:rPr>
      </w:pPr>
      <w:r>
        <w:rPr>
          <w:color w:val="000000"/>
        </w:rPr>
        <w:t>2.24</w:t>
      </w:r>
      <w:r>
        <w:rPr>
          <w:color w:val="000000"/>
        </w:rPr>
        <w:t>. standartu ASTM A742 „Specification for Steel Sheet, Metallic Coated and Polymer Precoated for Corrugated Steel Pipe“ (www.astm.org)“.</w:t>
      </w:r>
    </w:p>
    <w:p w14:paraId="03025075" w14:textId="77777777" w:rsidR="00CF53CD" w:rsidRDefault="00640BF0">
      <w:pPr>
        <w:widowControl w:val="0"/>
        <w:suppressAutoHyphens/>
        <w:ind w:firstLine="567"/>
        <w:jc w:val="both"/>
        <w:rPr>
          <w:color w:val="000000"/>
        </w:rPr>
      </w:pPr>
      <w:r>
        <w:rPr>
          <w:color w:val="000000"/>
        </w:rPr>
        <w:t>2</w:t>
      </w:r>
      <w:r>
        <w:rPr>
          <w:color w:val="000000"/>
        </w:rPr>
        <w:t>. Išdėstau taisyklių I dalies III skyriaus 4.1 punktą taip:</w:t>
      </w:r>
    </w:p>
    <w:p w14:paraId="03025076" w14:textId="77777777" w:rsidR="00CF53CD" w:rsidRDefault="00640BF0">
      <w:pPr>
        <w:widowControl w:val="0"/>
        <w:suppressAutoHyphens/>
        <w:ind w:firstLine="567"/>
        <w:jc w:val="both"/>
        <w:rPr>
          <w:color w:val="000000"/>
        </w:rPr>
      </w:pPr>
      <w:r>
        <w:rPr>
          <w:color w:val="000000"/>
        </w:rPr>
        <w:t>„</w:t>
      </w:r>
      <w:r>
        <w:rPr>
          <w:color w:val="000000"/>
        </w:rPr>
        <w:t>4.1</w:t>
      </w:r>
      <w:r>
        <w:rPr>
          <w:color w:val="000000"/>
        </w:rPr>
        <w:t>. Pralaidos skersmuo (plotis) paren</w:t>
      </w:r>
      <w:r>
        <w:rPr>
          <w:color w:val="000000"/>
        </w:rPr>
        <w:t>kamas vadovaujantis 1 ir 2 pav.</w:t>
      </w:r>
    </w:p>
    <w:p w14:paraId="03025077" w14:textId="77777777" w:rsidR="00CF53CD" w:rsidRDefault="00CF53CD">
      <w:pPr>
        <w:widowControl w:val="0"/>
        <w:suppressAutoHyphens/>
        <w:jc w:val="both"/>
        <w:rPr>
          <w:color w:val="000000"/>
        </w:rPr>
      </w:pPr>
    </w:p>
    <w:p w14:paraId="03025078" w14:textId="77777777" w:rsidR="00CF53CD" w:rsidRDefault="00640BF0">
      <w:pPr>
        <w:widowControl w:val="0"/>
        <w:suppressAutoHyphens/>
        <w:jc w:val="center"/>
        <w:rPr>
          <w:vanish/>
          <w:color w:val="000000"/>
        </w:rPr>
      </w:pPr>
      <w:r>
        <w:rPr>
          <w:vanish/>
          <w:color w:val="000000"/>
        </w:rPr>
        <w:t>(pav.)</w:t>
      </w:r>
    </w:p>
    <w:p w14:paraId="03025079" w14:textId="77777777" w:rsidR="00CF53CD" w:rsidRDefault="00640BF0">
      <w:pPr>
        <w:widowControl w:val="0"/>
        <w:suppressAutoHyphens/>
        <w:jc w:val="both"/>
        <w:rPr>
          <w:color w:val="000000"/>
        </w:rPr>
      </w:pPr>
      <w:r>
        <w:rPr>
          <w:noProof/>
          <w:lang w:eastAsia="lt-LT"/>
        </w:rPr>
        <w:lastRenderedPageBreak/>
        <w:drawing>
          <wp:inline distT="0" distB="0" distL="0" distR="0" wp14:anchorId="030250D7" wp14:editId="030250D8">
            <wp:extent cx="5514975" cy="851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4975" cy="8515350"/>
                    </a:xfrm>
                    <a:prstGeom prst="rect">
                      <a:avLst/>
                    </a:prstGeom>
                    <a:noFill/>
                    <a:ln>
                      <a:noFill/>
                    </a:ln>
                  </pic:spPr>
                </pic:pic>
              </a:graphicData>
            </a:graphic>
          </wp:inline>
        </w:drawing>
      </w:r>
    </w:p>
    <w:p w14:paraId="0302507A" w14:textId="77777777" w:rsidR="00CF53CD" w:rsidRDefault="00640BF0">
      <w:pPr>
        <w:widowControl w:val="0"/>
        <w:suppressAutoHyphens/>
        <w:jc w:val="center"/>
        <w:rPr>
          <w:color w:val="000000"/>
        </w:rPr>
      </w:pPr>
      <w:r>
        <w:rPr>
          <w:color w:val="000000"/>
        </w:rPr>
        <w:t>1 pav. Nepatvenktų vandens apvalių pralaidų hidrauliniai rodikliai.</w:t>
      </w:r>
    </w:p>
    <w:p w14:paraId="0302507B" w14:textId="77777777" w:rsidR="00CF53CD" w:rsidRDefault="00640BF0">
      <w:pPr>
        <w:widowControl w:val="0"/>
        <w:suppressAutoHyphens/>
        <w:jc w:val="center"/>
        <w:rPr>
          <w:color w:val="000000"/>
        </w:rPr>
      </w:pPr>
      <w:r>
        <w:rPr>
          <w:color w:val="000000"/>
        </w:rPr>
        <w:t xml:space="preserve">Nomograma rodo vandens debitą Qm, kai vamzdis pripildytas 75% </w:t>
      </w:r>
    </w:p>
    <w:p w14:paraId="0302507C" w14:textId="77777777" w:rsidR="00CF53CD" w:rsidRDefault="00640BF0">
      <w:pPr>
        <w:widowControl w:val="0"/>
        <w:suppressAutoHyphens/>
        <w:jc w:val="center"/>
        <w:rPr>
          <w:color w:val="000000"/>
        </w:rPr>
      </w:pPr>
      <w:r>
        <w:rPr>
          <w:color w:val="000000"/>
        </w:rPr>
        <w:lastRenderedPageBreak/>
        <w:t>ir kai yra mažiausias atstumas nuo vamzdžio viršaus.</w:t>
      </w:r>
    </w:p>
    <w:p w14:paraId="0302507D" w14:textId="77777777" w:rsidR="00CF53CD" w:rsidRDefault="00CF53CD">
      <w:pPr>
        <w:widowControl w:val="0"/>
        <w:suppressAutoHyphens/>
        <w:jc w:val="both"/>
        <w:rPr>
          <w:color w:val="000000"/>
        </w:rPr>
      </w:pPr>
    </w:p>
    <w:p w14:paraId="0302507E" w14:textId="77777777" w:rsidR="00CF53CD" w:rsidRDefault="00640BF0">
      <w:pPr>
        <w:widowControl w:val="0"/>
        <w:suppressAutoHyphens/>
        <w:jc w:val="center"/>
        <w:rPr>
          <w:vanish/>
          <w:color w:val="000000"/>
        </w:rPr>
      </w:pPr>
      <w:r>
        <w:rPr>
          <w:vanish/>
          <w:color w:val="000000"/>
        </w:rPr>
        <w:t>(pav.)</w:t>
      </w:r>
    </w:p>
    <w:p w14:paraId="0302507F" w14:textId="77777777" w:rsidR="00CF53CD" w:rsidRDefault="00640BF0">
      <w:pPr>
        <w:widowControl w:val="0"/>
        <w:suppressAutoHyphens/>
        <w:jc w:val="both"/>
        <w:rPr>
          <w:color w:val="000000"/>
        </w:rPr>
      </w:pPr>
      <w:r>
        <w:rPr>
          <w:noProof/>
          <w:lang w:eastAsia="lt-LT"/>
        </w:rPr>
        <w:lastRenderedPageBreak/>
        <w:drawing>
          <wp:inline distT="0" distB="0" distL="0" distR="0" wp14:anchorId="030250D9" wp14:editId="030250DA">
            <wp:extent cx="4876800" cy="841057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4">
                      <a:extLst>
                        <a:ext uri="{28A0092B-C50C-407E-A947-70E740481C1C}">
                          <a14:useLocalDpi xmlns:a14="http://schemas.microsoft.com/office/drawing/2010/main" val="0"/>
                        </a:ext>
                      </a:extLst>
                    </a:blip>
                    <a:srcRect l="-2266" t="-224" r="-20" b="-1471"/>
                    <a:stretch>
                      <a:fillRect/>
                    </a:stretch>
                  </pic:blipFill>
                  <pic:spPr bwMode="auto">
                    <a:xfrm>
                      <a:off x="0" y="0"/>
                      <a:ext cx="4876800" cy="8410575"/>
                    </a:xfrm>
                    <a:prstGeom prst="rect">
                      <a:avLst/>
                    </a:prstGeom>
                    <a:noFill/>
                    <a:ln>
                      <a:noFill/>
                    </a:ln>
                  </pic:spPr>
                </pic:pic>
              </a:graphicData>
            </a:graphic>
          </wp:inline>
        </w:drawing>
      </w:r>
    </w:p>
    <w:p w14:paraId="03025080" w14:textId="77777777" w:rsidR="00CF53CD" w:rsidRDefault="00CF53CD">
      <w:pPr>
        <w:widowControl w:val="0"/>
        <w:suppressAutoHyphens/>
        <w:jc w:val="both"/>
        <w:rPr>
          <w:color w:val="000000"/>
          <w:sz w:val="12"/>
        </w:rPr>
      </w:pPr>
    </w:p>
    <w:p w14:paraId="03025081" w14:textId="77777777" w:rsidR="00CF53CD" w:rsidRDefault="00640BF0">
      <w:pPr>
        <w:widowControl w:val="0"/>
        <w:suppressAutoHyphens/>
        <w:jc w:val="center"/>
        <w:rPr>
          <w:color w:val="000000"/>
        </w:rPr>
      </w:pPr>
      <w:r>
        <w:rPr>
          <w:color w:val="000000"/>
        </w:rPr>
        <w:t xml:space="preserve">2 pav. Nepatvenktų </w:t>
      </w:r>
      <w:r>
        <w:rPr>
          <w:color w:val="000000"/>
        </w:rPr>
        <w:t>vandens deformuoto žiedo skerspjūvio pralaidų hidrauliniai rodikliai.</w:t>
      </w:r>
    </w:p>
    <w:p w14:paraId="03025082" w14:textId="77777777" w:rsidR="00CF53CD" w:rsidRDefault="00640BF0">
      <w:pPr>
        <w:widowControl w:val="0"/>
        <w:suppressAutoHyphens/>
        <w:jc w:val="center"/>
        <w:rPr>
          <w:b/>
          <w:bCs/>
          <w:color w:val="000000"/>
        </w:rPr>
      </w:pPr>
      <w:r>
        <w:rPr>
          <w:color w:val="000000"/>
        </w:rPr>
        <w:t xml:space="preserve">Nomograma rodo vandens debitą Qm, kai vamzdis pripildytas 75% ir kai yra mažiausias atstumas </w:t>
      </w:r>
      <w:r>
        <w:rPr>
          <w:color w:val="000000"/>
        </w:rPr>
        <w:lastRenderedPageBreak/>
        <w:t>nuo vamzdžio viršaus.“</w:t>
      </w:r>
    </w:p>
    <w:p w14:paraId="03025083" w14:textId="77777777" w:rsidR="00CF53CD" w:rsidRDefault="00640BF0">
      <w:pPr>
        <w:widowControl w:val="0"/>
        <w:suppressAutoHyphens/>
        <w:jc w:val="both"/>
        <w:rPr>
          <w:color w:val="000000"/>
        </w:rPr>
      </w:pPr>
    </w:p>
    <w:p w14:paraId="03025084" w14:textId="77777777" w:rsidR="00CF53CD" w:rsidRDefault="00640BF0">
      <w:pPr>
        <w:widowControl w:val="0"/>
        <w:suppressAutoHyphens/>
        <w:ind w:firstLine="567"/>
        <w:jc w:val="both"/>
        <w:rPr>
          <w:color w:val="000000"/>
        </w:rPr>
      </w:pPr>
      <w:r>
        <w:rPr>
          <w:color w:val="000000"/>
        </w:rPr>
        <w:t>3</w:t>
      </w:r>
      <w:r>
        <w:rPr>
          <w:color w:val="000000"/>
        </w:rPr>
        <w:t>. Papildau taisyklių I dalies III skyrių šiuo 4.3 punktu:</w:t>
      </w:r>
    </w:p>
    <w:p w14:paraId="03025085" w14:textId="77777777" w:rsidR="00CF53CD" w:rsidRDefault="00640BF0">
      <w:pPr>
        <w:widowControl w:val="0"/>
        <w:suppressAutoHyphens/>
        <w:ind w:firstLine="567"/>
        <w:jc w:val="both"/>
        <w:rPr>
          <w:color w:val="000000"/>
        </w:rPr>
      </w:pPr>
      <w:r>
        <w:rPr>
          <w:color w:val="000000"/>
        </w:rPr>
        <w:t>„</w:t>
      </w:r>
      <w:r>
        <w:rPr>
          <w:color w:val="000000"/>
        </w:rPr>
        <w:t>4</w:t>
      </w:r>
      <w:r>
        <w:rPr>
          <w:color w:val="000000"/>
        </w:rPr>
        <w:t>.3</w:t>
      </w:r>
      <w:r>
        <w:rPr>
          <w:color w:val="000000"/>
        </w:rPr>
        <w:t>. Metalinės gofruotos konstrukcijos apskaičiuojamos ribinių būvių metodu. Saugos ir tinkamumo ribiniai būviai įvertinami pagal skaičiavimo metodus (dalinių koeficientų, dalinių koeficientų su bandymais arba tiesioginį informacinį statistinį). Metalinių</w:t>
      </w:r>
      <w:r>
        <w:rPr>
          <w:color w:val="000000"/>
        </w:rPr>
        <w:t xml:space="preserve"> gofruotų konstrukcijų ribinių būvių skaičiavimai pagal dalinių koeficientų metodą aprašyti projektavimo instrukcijoje „Design of soil steel composite bridges“ [2.21].</w:t>
      </w:r>
    </w:p>
    <w:p w14:paraId="03025086" w14:textId="77777777" w:rsidR="00CF53CD" w:rsidRDefault="00640BF0">
      <w:pPr>
        <w:widowControl w:val="0"/>
        <w:suppressAutoHyphens/>
        <w:ind w:firstLine="567"/>
        <w:jc w:val="both"/>
        <w:rPr>
          <w:color w:val="000000"/>
        </w:rPr>
      </w:pPr>
      <w:r>
        <w:rPr>
          <w:color w:val="000000"/>
        </w:rPr>
        <w:t xml:space="preserve">Konstrukcijos projektavimas atliekamas sudarius skaičiuojamąją schemą. Skaičiuojamojoje </w:t>
      </w:r>
      <w:r>
        <w:rPr>
          <w:color w:val="000000"/>
        </w:rPr>
        <w:t>schemoje nagrinėjamas bendras metalinių gofruotų konstrukcijų ir jas supančio grunto bei pagrindų darbas. Skaičiuojamoji schema yra dvimatė arba trimatė, kuri užtikrina reikiamą tikslumą nustatant įražas ir metalinių gofruotų konstrukcijų elementų apkrovas</w:t>
      </w:r>
      <w:r>
        <w:rPr>
          <w:color w:val="000000"/>
        </w:rPr>
        <w:t xml:space="preserve"> bei jas supantį gruntą. Žinant konstrukcijos geometrinius matmenis, medžiagos mechanines savybes ir konstrukciją veikiančias apkrovas, įvertinamas konstrukcijos patikimumas, nustatomas vamzdžio skerspjūvio sienutės storis.“</w:t>
      </w:r>
    </w:p>
    <w:p w14:paraId="03025087" w14:textId="77777777" w:rsidR="00CF53CD" w:rsidRDefault="00640BF0">
      <w:pPr>
        <w:widowControl w:val="0"/>
        <w:suppressAutoHyphens/>
        <w:ind w:firstLine="567"/>
        <w:jc w:val="both"/>
        <w:rPr>
          <w:color w:val="000000"/>
        </w:rPr>
      </w:pPr>
      <w:r>
        <w:rPr>
          <w:color w:val="000000"/>
        </w:rPr>
        <w:t>4</w:t>
      </w:r>
      <w:r>
        <w:rPr>
          <w:color w:val="000000"/>
        </w:rPr>
        <w:t>. Išdėstau taisyklių I</w:t>
      </w:r>
      <w:r>
        <w:rPr>
          <w:color w:val="000000"/>
        </w:rPr>
        <w:t xml:space="preserve"> dalies IV skyriaus I skirsnio 5 punktą taip:</w:t>
      </w:r>
    </w:p>
    <w:p w14:paraId="03025088" w14:textId="77777777" w:rsidR="00CF53CD" w:rsidRDefault="00640BF0">
      <w:pPr>
        <w:widowControl w:val="0"/>
        <w:suppressAutoHyphens/>
        <w:ind w:firstLine="567"/>
        <w:jc w:val="both"/>
        <w:rPr>
          <w:color w:val="000000"/>
        </w:rPr>
      </w:pPr>
      <w:r>
        <w:rPr>
          <w:color w:val="000000"/>
        </w:rPr>
        <w:t>„</w:t>
      </w:r>
      <w:r>
        <w:rPr>
          <w:color w:val="000000"/>
        </w:rPr>
        <w:t>5</w:t>
      </w:r>
      <w:r>
        <w:rPr>
          <w:color w:val="000000"/>
        </w:rPr>
        <w:t>. Metalinės vandens pralaidos, kurioms taikomos šios statybos taisyklės, yra montuojamos iš spirališkai gofruotų vamzdžių.</w:t>
      </w:r>
    </w:p>
    <w:p w14:paraId="03025089" w14:textId="77777777" w:rsidR="00CF53CD" w:rsidRDefault="00640BF0">
      <w:pPr>
        <w:widowControl w:val="0"/>
        <w:suppressAutoHyphens/>
        <w:ind w:firstLine="567"/>
        <w:jc w:val="both"/>
        <w:rPr>
          <w:color w:val="000000"/>
        </w:rPr>
      </w:pPr>
      <w:r>
        <w:rPr>
          <w:color w:val="000000"/>
        </w:rPr>
        <w:t>5.1</w:t>
      </w:r>
      <w:r>
        <w:rPr>
          <w:color w:val="000000"/>
        </w:rPr>
        <w:t xml:space="preserve">. Spirališkai gofruotų vamzdžių techniniai parametrai yra gofro bangos ilgis, </w:t>
      </w:r>
      <w:r>
        <w:rPr>
          <w:color w:val="000000"/>
        </w:rPr>
        <w:t>aukštis ir sienelės storis. Priklausomai nuo vamzdžių gamintojo šie rodikliai varijuoja:</w:t>
      </w:r>
    </w:p>
    <w:p w14:paraId="0302508A" w14:textId="77777777" w:rsidR="00CF53CD" w:rsidRDefault="00640BF0">
      <w:pPr>
        <w:widowControl w:val="0"/>
        <w:suppressAutoHyphens/>
        <w:ind w:firstLine="567"/>
        <w:jc w:val="both"/>
        <w:rPr>
          <w:color w:val="000000"/>
        </w:rPr>
      </w:pPr>
      <w:r>
        <w:rPr>
          <w:color w:val="000000"/>
        </w:rPr>
        <w:t>bangos ilgis – nuo 68 iki 125 mm;</w:t>
      </w:r>
    </w:p>
    <w:p w14:paraId="0302508B" w14:textId="77777777" w:rsidR="00CF53CD" w:rsidRDefault="00640BF0">
      <w:pPr>
        <w:widowControl w:val="0"/>
        <w:suppressAutoHyphens/>
        <w:ind w:firstLine="567"/>
        <w:jc w:val="both"/>
        <w:rPr>
          <w:color w:val="000000"/>
        </w:rPr>
      </w:pPr>
      <w:r>
        <w:rPr>
          <w:color w:val="000000"/>
        </w:rPr>
        <w:t>bangos aukštis – nuo 13 iki 26 mm;</w:t>
      </w:r>
    </w:p>
    <w:p w14:paraId="0302508C" w14:textId="77777777" w:rsidR="00CF53CD" w:rsidRDefault="00640BF0">
      <w:pPr>
        <w:widowControl w:val="0"/>
        <w:suppressAutoHyphens/>
        <w:ind w:firstLine="567"/>
        <w:jc w:val="both"/>
        <w:rPr>
          <w:color w:val="000000"/>
        </w:rPr>
      </w:pPr>
      <w:r>
        <w:rPr>
          <w:color w:val="000000"/>
        </w:rPr>
        <w:t>sienelės storis – nuo 1,25 iki 4,25 mm.</w:t>
      </w:r>
    </w:p>
    <w:p w14:paraId="0302508D" w14:textId="77777777" w:rsidR="00CF53CD" w:rsidRDefault="00640BF0">
      <w:pPr>
        <w:widowControl w:val="0"/>
        <w:suppressAutoHyphens/>
        <w:ind w:firstLine="567"/>
        <w:jc w:val="both"/>
        <w:rPr>
          <w:color w:val="000000"/>
        </w:rPr>
      </w:pPr>
      <w:r>
        <w:rPr>
          <w:color w:val="000000"/>
        </w:rPr>
        <w:t>5.2</w:t>
      </w:r>
      <w:r>
        <w:rPr>
          <w:color w:val="000000"/>
        </w:rPr>
        <w:t xml:space="preserve">. Naudojami spirališkai gofruoti vamzdžiai yra </w:t>
      </w:r>
      <w:r>
        <w:rPr>
          <w:color w:val="000000"/>
        </w:rPr>
        <w:t>apvalaus ir deformuoto skerspjūvio.</w:t>
      </w:r>
    </w:p>
    <w:p w14:paraId="0302508E" w14:textId="77777777" w:rsidR="00CF53CD" w:rsidRDefault="00640BF0">
      <w:pPr>
        <w:widowControl w:val="0"/>
        <w:suppressAutoHyphens/>
        <w:ind w:firstLine="567"/>
        <w:jc w:val="both"/>
        <w:rPr>
          <w:color w:val="000000"/>
        </w:rPr>
      </w:pPr>
      <w:r>
        <w:rPr>
          <w:color w:val="000000"/>
        </w:rPr>
        <w:t>5.2.1</w:t>
      </w:r>
      <w:r>
        <w:rPr>
          <w:color w:val="000000"/>
        </w:rPr>
        <w:t>. Apvalaus skerspjūvio skersmens vidiniai matmenys – nuo 300 iki 3600 mm.</w:t>
      </w:r>
    </w:p>
    <w:p w14:paraId="0302508F" w14:textId="77777777" w:rsidR="00CF53CD" w:rsidRDefault="00640BF0">
      <w:pPr>
        <w:widowControl w:val="0"/>
        <w:suppressAutoHyphens/>
        <w:ind w:firstLine="567"/>
        <w:jc w:val="both"/>
        <w:rPr>
          <w:color w:val="000000"/>
        </w:rPr>
      </w:pPr>
      <w:r>
        <w:rPr>
          <w:color w:val="000000"/>
        </w:rPr>
        <w:t>5.2.2</w:t>
      </w:r>
      <w:r>
        <w:rPr>
          <w:color w:val="000000"/>
        </w:rPr>
        <w:t>. Deformuoto žiedo skerspjūvio vidiniai matmenys:</w:t>
      </w:r>
    </w:p>
    <w:p w14:paraId="03025090" w14:textId="77777777" w:rsidR="00CF53CD" w:rsidRDefault="00640BF0">
      <w:pPr>
        <w:widowControl w:val="0"/>
        <w:suppressAutoHyphens/>
        <w:ind w:firstLine="567"/>
        <w:jc w:val="both"/>
        <w:rPr>
          <w:color w:val="000000"/>
        </w:rPr>
      </w:pPr>
      <w:r>
        <w:rPr>
          <w:color w:val="000000"/>
        </w:rPr>
        <w:t>deformuoto skerspjūvio plotis – nuo 1340 iki 3670 mm;</w:t>
      </w:r>
    </w:p>
    <w:p w14:paraId="03025091" w14:textId="77777777" w:rsidR="00CF53CD" w:rsidRDefault="00640BF0">
      <w:pPr>
        <w:widowControl w:val="0"/>
        <w:suppressAutoHyphens/>
        <w:ind w:firstLine="567"/>
        <w:jc w:val="both"/>
        <w:rPr>
          <w:color w:val="000000"/>
        </w:rPr>
      </w:pPr>
      <w:r>
        <w:rPr>
          <w:color w:val="000000"/>
        </w:rPr>
        <w:t>deformuoto skerspjūvio auk</w:t>
      </w:r>
      <w:r>
        <w:rPr>
          <w:color w:val="000000"/>
        </w:rPr>
        <w:t>štis – nuo 970 iki 2610 mm.</w:t>
      </w:r>
    </w:p>
    <w:p w14:paraId="03025092" w14:textId="77777777" w:rsidR="00CF53CD" w:rsidRDefault="00640BF0">
      <w:pPr>
        <w:widowControl w:val="0"/>
        <w:suppressAutoHyphens/>
        <w:ind w:firstLine="567"/>
        <w:jc w:val="both"/>
        <w:rPr>
          <w:color w:val="000000"/>
        </w:rPr>
      </w:pPr>
      <w:r>
        <w:rPr>
          <w:color w:val="000000"/>
        </w:rPr>
        <w:t>Pastaba: II–III dalyse yra pateikti dažniausiai naudojamų matmenų pralaidų tipiniai sprendiniai ir brėžiniai.“</w:t>
      </w:r>
    </w:p>
    <w:p w14:paraId="03025093" w14:textId="77777777" w:rsidR="00CF53CD" w:rsidRDefault="00640BF0">
      <w:pPr>
        <w:widowControl w:val="0"/>
        <w:suppressAutoHyphens/>
        <w:ind w:firstLine="567"/>
        <w:jc w:val="both"/>
        <w:rPr>
          <w:color w:val="000000"/>
        </w:rPr>
      </w:pPr>
      <w:r>
        <w:rPr>
          <w:color w:val="000000"/>
        </w:rPr>
        <w:t>5</w:t>
      </w:r>
      <w:r>
        <w:rPr>
          <w:color w:val="000000"/>
        </w:rPr>
        <w:t>. Išdėstau taisyklių I dalies IV skyriaus II skirsnio 10 punktą taip:</w:t>
      </w:r>
    </w:p>
    <w:p w14:paraId="03025094" w14:textId="77777777" w:rsidR="00CF53CD" w:rsidRDefault="00640BF0">
      <w:pPr>
        <w:widowControl w:val="0"/>
        <w:suppressAutoHyphens/>
        <w:ind w:firstLine="567"/>
        <w:jc w:val="both"/>
        <w:rPr>
          <w:color w:val="000000"/>
        </w:rPr>
      </w:pPr>
      <w:r>
        <w:rPr>
          <w:color w:val="000000"/>
        </w:rPr>
        <w:t>„</w:t>
      </w:r>
      <w:r>
        <w:rPr>
          <w:color w:val="000000"/>
        </w:rPr>
        <w:t>10</w:t>
      </w:r>
      <w:r>
        <w:rPr>
          <w:color w:val="000000"/>
        </w:rPr>
        <w:t>. Metalinių pralaidų antikoro</w:t>
      </w:r>
      <w:r>
        <w:rPr>
          <w:color w:val="000000"/>
        </w:rPr>
        <w:t>zinės dangos turi tenkinti standartų LST EN 10346 [2.22], LST EN 10169-2 [2.23], LST EN 12944-5 [2.11], LST EN 1461 [2.10] reikalavimus.</w:t>
      </w:r>
    </w:p>
    <w:p w14:paraId="03025095" w14:textId="77777777" w:rsidR="00CF53CD" w:rsidRDefault="00640BF0">
      <w:pPr>
        <w:widowControl w:val="0"/>
        <w:suppressAutoHyphens/>
        <w:ind w:firstLine="567"/>
        <w:jc w:val="both"/>
        <w:rPr>
          <w:color w:val="000000"/>
        </w:rPr>
      </w:pPr>
      <w:r>
        <w:rPr>
          <w:color w:val="000000"/>
        </w:rPr>
        <w:t>10.1</w:t>
      </w:r>
      <w:r>
        <w:rPr>
          <w:color w:val="000000"/>
        </w:rPr>
        <w:t>. Spiralinių pralaidų cinko dangos masė ir storis turi atitikti Z600 klasės reikalavimus pagal standartą LST EN 1</w:t>
      </w:r>
      <w:r>
        <w:rPr>
          <w:color w:val="000000"/>
        </w:rPr>
        <w:t>0346 [2.22].</w:t>
      </w:r>
    </w:p>
    <w:p w14:paraId="03025096" w14:textId="77777777" w:rsidR="00CF53CD" w:rsidRDefault="00640BF0">
      <w:pPr>
        <w:widowControl w:val="0"/>
        <w:suppressAutoHyphens/>
        <w:ind w:firstLine="567"/>
        <w:jc w:val="both"/>
        <w:rPr>
          <w:color w:val="000000"/>
        </w:rPr>
      </w:pPr>
      <w:r>
        <w:rPr>
          <w:color w:val="000000"/>
        </w:rPr>
        <w:t>10.2</w:t>
      </w:r>
      <w:r>
        <w:rPr>
          <w:color w:val="000000"/>
        </w:rPr>
        <w:t>. Spirališkai gofruotų metalinių pralaidų „Trenchcoat</w:t>
      </w:r>
      <w:r>
        <w:rPr>
          <w:color w:val="000000"/>
          <w:vertAlign w:val="superscript"/>
        </w:rPr>
        <w:t>TM</w:t>
      </w:r>
      <w:r>
        <w:rPr>
          <w:color w:val="000000"/>
        </w:rPr>
        <w:t xml:space="preserve">“ (laminuotų plastiko plėvele) nominalus storis turi būti 250 </w:t>
      </w:r>
      <w:r>
        <w:rPr>
          <w:color w:val="000000"/>
          <w:sz w:val="22"/>
        </w:rPr>
        <w:t>?</w:t>
      </w:r>
      <w:r>
        <w:rPr>
          <w:vanish/>
          <w:color w:val="000000"/>
          <w:sz w:val="22"/>
        </w:rPr>
        <w:t>miu</w:t>
      </w:r>
      <w:r>
        <w:rPr>
          <w:color w:val="000000"/>
        </w:rPr>
        <w:t>m ir atitikti standartų LST EN 10169-2 [2.23], ASTM A742 [2.24] reikalavimus.</w:t>
      </w:r>
    </w:p>
    <w:p w14:paraId="03025097" w14:textId="77777777" w:rsidR="00CF53CD" w:rsidRDefault="00640BF0">
      <w:pPr>
        <w:widowControl w:val="0"/>
        <w:suppressAutoHyphens/>
        <w:ind w:firstLine="567"/>
        <w:jc w:val="both"/>
        <w:rPr>
          <w:color w:val="000000"/>
        </w:rPr>
      </w:pPr>
      <w:r>
        <w:rPr>
          <w:color w:val="000000"/>
        </w:rPr>
        <w:t>10.3</w:t>
      </w:r>
      <w:r>
        <w:rPr>
          <w:color w:val="000000"/>
        </w:rPr>
        <w:t>. Metalinių pralaidų antikor</w:t>
      </w:r>
      <w:r>
        <w:rPr>
          <w:color w:val="000000"/>
        </w:rPr>
        <w:t>ozinės sistemos epoksidinė danga turi atitikti standarto LST EN 12944-5 [2.11] reikalavimus. Minimalūs epoksidinės dangos storiai nurodyti 3 lentelėje.“</w:t>
      </w:r>
    </w:p>
    <w:p w14:paraId="03025098" w14:textId="77777777" w:rsidR="00CF53CD" w:rsidRDefault="00640BF0">
      <w:pPr>
        <w:widowControl w:val="0"/>
        <w:suppressAutoHyphens/>
        <w:ind w:firstLine="567"/>
        <w:jc w:val="both"/>
        <w:rPr>
          <w:color w:val="000000"/>
        </w:rPr>
      </w:pPr>
      <w:r>
        <w:rPr>
          <w:color w:val="000000"/>
        </w:rPr>
        <w:t>6</w:t>
      </w:r>
      <w:r>
        <w:rPr>
          <w:color w:val="000000"/>
        </w:rPr>
        <w:t>. Išdėstau taisyklių I dalies IV skyriaus II skirsnio 11 punktą taip:</w:t>
      </w:r>
    </w:p>
    <w:p w14:paraId="03025099" w14:textId="77777777" w:rsidR="00CF53CD" w:rsidRDefault="00640BF0">
      <w:pPr>
        <w:widowControl w:val="0"/>
        <w:suppressAutoHyphens/>
        <w:ind w:firstLine="567"/>
        <w:jc w:val="both"/>
        <w:rPr>
          <w:color w:val="000000"/>
        </w:rPr>
      </w:pPr>
      <w:r>
        <w:rPr>
          <w:color w:val="000000"/>
        </w:rPr>
        <w:t>„</w:t>
      </w:r>
      <w:r>
        <w:rPr>
          <w:color w:val="000000"/>
        </w:rPr>
        <w:t>11</w:t>
      </w:r>
      <w:r>
        <w:rPr>
          <w:color w:val="000000"/>
        </w:rPr>
        <w:t>. Metalinių prala</w:t>
      </w:r>
      <w:r>
        <w:rPr>
          <w:color w:val="000000"/>
        </w:rPr>
        <w:t>idų papildomos antikorozinės dangos tipas ir storis parenkami pagal užsakovo nustatytą saugaus naudojimo laiką (žr. 15 punktą) ir aplinkos agresyvumo pobūdį (žr. 12 punktą).“</w:t>
      </w:r>
    </w:p>
    <w:p w14:paraId="0302509A" w14:textId="77777777" w:rsidR="00CF53CD" w:rsidRDefault="00640BF0">
      <w:pPr>
        <w:widowControl w:val="0"/>
        <w:suppressAutoHyphens/>
        <w:ind w:firstLine="567"/>
        <w:jc w:val="both"/>
        <w:rPr>
          <w:color w:val="000000"/>
        </w:rPr>
      </w:pPr>
      <w:r>
        <w:rPr>
          <w:color w:val="000000"/>
        </w:rPr>
        <w:t>7</w:t>
      </w:r>
      <w:r>
        <w:rPr>
          <w:color w:val="000000"/>
        </w:rPr>
        <w:t>. Išdėstau taisyklių I dalies IV skyriaus II skirsnio 3 lentelę taip:</w:t>
      </w:r>
    </w:p>
    <w:p w14:paraId="0302509B" w14:textId="77777777" w:rsidR="00CF53CD" w:rsidRDefault="00640BF0">
      <w:pPr>
        <w:widowControl w:val="0"/>
        <w:suppressAutoHyphens/>
        <w:ind w:firstLine="567"/>
        <w:jc w:val="both"/>
        <w:rPr>
          <w:color w:val="000000"/>
        </w:rPr>
      </w:pPr>
      <w:r>
        <w:rPr>
          <w:color w:val="000000"/>
        </w:rPr>
        <w:t>„3</w:t>
      </w:r>
      <w:r>
        <w:rPr>
          <w:color w:val="000000"/>
        </w:rPr>
        <w:t xml:space="preserve"> lentelė. Metalinių pralaidų antikorozinių sistemų reikalavimai</w:t>
      </w:r>
    </w:p>
    <w:p w14:paraId="0302509C" w14:textId="77777777" w:rsidR="00CF53CD" w:rsidRDefault="00640BF0">
      <w:pPr>
        <w:widowControl w:val="0"/>
        <w:suppressAutoHyphens/>
        <w:jc w:val="both"/>
        <w:rPr>
          <w:color w:val="000000"/>
        </w:rPr>
      </w:pPr>
    </w:p>
    <w:tbl>
      <w:tblPr>
        <w:tblW w:w="9211" w:type="dxa"/>
        <w:tblInd w:w="57" w:type="dxa"/>
        <w:tblLayout w:type="fixed"/>
        <w:tblCellMar>
          <w:left w:w="0" w:type="dxa"/>
          <w:right w:w="0" w:type="dxa"/>
        </w:tblCellMar>
        <w:tblLook w:val="0000" w:firstRow="0" w:lastRow="0" w:firstColumn="0" w:lastColumn="0" w:noHBand="0" w:noVBand="0"/>
      </w:tblPr>
      <w:tblGrid>
        <w:gridCol w:w="1291"/>
        <w:gridCol w:w="1680"/>
        <w:gridCol w:w="2280"/>
        <w:gridCol w:w="1680"/>
        <w:gridCol w:w="2280"/>
      </w:tblGrid>
      <w:tr w:rsidR="00CF53CD" w14:paraId="030250A0" w14:textId="77777777">
        <w:trPr>
          <w:trHeight w:val="60"/>
        </w:trPr>
        <w:tc>
          <w:tcPr>
            <w:tcW w:w="1291" w:type="dxa"/>
            <w:vMerge w:val="restart"/>
            <w:tcBorders>
              <w:top w:val="single" w:sz="4" w:space="0" w:color="000000"/>
              <w:left w:val="single" w:sz="4" w:space="0" w:color="000000"/>
              <w:bottom w:val="nil"/>
              <w:right w:val="single" w:sz="4" w:space="0" w:color="000000"/>
            </w:tcBorders>
            <w:tcMar>
              <w:top w:w="57" w:type="dxa"/>
              <w:left w:w="28" w:type="dxa"/>
              <w:bottom w:w="57" w:type="dxa"/>
              <w:right w:w="28" w:type="dxa"/>
            </w:tcMar>
            <w:vAlign w:val="center"/>
          </w:tcPr>
          <w:p w14:paraId="0302509D" w14:textId="77777777" w:rsidR="00CF53CD" w:rsidRDefault="00640BF0">
            <w:pPr>
              <w:widowControl w:val="0"/>
              <w:suppressAutoHyphens/>
              <w:jc w:val="center"/>
              <w:rPr>
                <w:color w:val="000000"/>
                <w:sz w:val="22"/>
              </w:rPr>
            </w:pPr>
            <w:r>
              <w:rPr>
                <w:color w:val="000000"/>
                <w:sz w:val="22"/>
              </w:rPr>
              <w:t xml:space="preserve">Kelio kategorija </w:t>
            </w:r>
          </w:p>
        </w:tc>
        <w:tc>
          <w:tcPr>
            <w:tcW w:w="3960" w:type="dxa"/>
            <w:gridSpan w:val="2"/>
            <w:tcBorders>
              <w:top w:val="single" w:sz="4" w:space="0" w:color="000000"/>
              <w:left w:val="single" w:sz="4" w:space="0" w:color="000000"/>
              <w:bottom w:val="single" w:sz="4" w:space="0" w:color="000000"/>
              <w:right w:val="nil"/>
            </w:tcBorders>
            <w:tcMar>
              <w:top w:w="57" w:type="dxa"/>
              <w:left w:w="28" w:type="dxa"/>
              <w:bottom w:w="57" w:type="dxa"/>
              <w:right w:w="28" w:type="dxa"/>
            </w:tcMar>
            <w:vAlign w:val="center"/>
          </w:tcPr>
          <w:p w14:paraId="0302509E" w14:textId="77777777" w:rsidR="00CF53CD" w:rsidRDefault="00640BF0">
            <w:pPr>
              <w:widowControl w:val="0"/>
              <w:suppressAutoHyphens/>
              <w:jc w:val="center"/>
              <w:rPr>
                <w:color w:val="000000"/>
                <w:sz w:val="22"/>
              </w:rPr>
            </w:pPr>
            <w:r>
              <w:rPr>
                <w:color w:val="000000"/>
                <w:sz w:val="22"/>
              </w:rPr>
              <w:t xml:space="preserve">Normali aplinka </w:t>
            </w:r>
          </w:p>
        </w:tc>
        <w:tc>
          <w:tcPr>
            <w:tcW w:w="3960" w:type="dxa"/>
            <w:gridSpan w:val="2"/>
            <w:tcBorders>
              <w:top w:val="single" w:sz="4" w:space="0" w:color="000000"/>
              <w:left w:val="single" w:sz="4" w:space="0" w:color="000000"/>
              <w:bottom w:val="single" w:sz="4" w:space="0" w:color="000000"/>
              <w:right w:val="single" w:sz="4" w:space="0" w:color="auto"/>
            </w:tcBorders>
            <w:tcMar>
              <w:top w:w="57" w:type="dxa"/>
              <w:left w:w="28" w:type="dxa"/>
              <w:bottom w:w="57" w:type="dxa"/>
              <w:right w:w="28" w:type="dxa"/>
            </w:tcMar>
            <w:vAlign w:val="center"/>
          </w:tcPr>
          <w:p w14:paraId="0302509F" w14:textId="77777777" w:rsidR="00CF53CD" w:rsidRDefault="00640BF0">
            <w:pPr>
              <w:widowControl w:val="0"/>
              <w:suppressAutoHyphens/>
              <w:jc w:val="center"/>
              <w:rPr>
                <w:color w:val="000000"/>
                <w:sz w:val="22"/>
              </w:rPr>
            </w:pPr>
            <w:r>
              <w:rPr>
                <w:color w:val="000000"/>
                <w:sz w:val="22"/>
              </w:rPr>
              <w:t xml:space="preserve">Padidinto agresyvumo aplinka </w:t>
            </w:r>
          </w:p>
        </w:tc>
      </w:tr>
      <w:tr w:rsidR="00CF53CD" w14:paraId="030250A6" w14:textId="77777777">
        <w:trPr>
          <w:trHeight w:val="60"/>
        </w:trPr>
        <w:tc>
          <w:tcPr>
            <w:tcW w:w="1291" w:type="dxa"/>
            <w:vMerge/>
            <w:tcBorders>
              <w:top w:val="nil"/>
              <w:left w:val="single" w:sz="4" w:space="0" w:color="000000"/>
              <w:bottom w:val="single" w:sz="4" w:space="0" w:color="000000"/>
              <w:right w:val="single" w:sz="4" w:space="0" w:color="000000"/>
            </w:tcBorders>
          </w:tcPr>
          <w:p w14:paraId="030250A1" w14:textId="77777777" w:rsidR="00CF53CD" w:rsidRDefault="00CF53CD">
            <w:pPr>
              <w:widowControl w:val="0"/>
              <w:rPr>
                <w:sz w:val="22"/>
              </w:rPr>
            </w:pP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2" w14:textId="77777777" w:rsidR="00CF53CD" w:rsidRDefault="00640BF0">
            <w:pPr>
              <w:widowControl w:val="0"/>
              <w:suppressAutoHyphens/>
              <w:jc w:val="center"/>
              <w:rPr>
                <w:color w:val="000000"/>
                <w:sz w:val="22"/>
              </w:rPr>
            </w:pPr>
            <w:r>
              <w:rPr>
                <w:color w:val="000000"/>
                <w:sz w:val="22"/>
              </w:rPr>
              <w:t xml:space="preserve">Cinkuota, epoksidinė danga, </w:t>
            </w:r>
            <w:r>
              <w:rPr>
                <w:color w:val="000000"/>
                <w:sz w:val="22"/>
              </w:rPr>
              <w:lastRenderedPageBreak/>
              <w:t>?</w:t>
            </w:r>
            <w:r>
              <w:rPr>
                <w:vanish/>
                <w:color w:val="000000"/>
                <w:sz w:val="22"/>
              </w:rPr>
              <w:t>miu</w:t>
            </w:r>
            <w:r>
              <w:rPr>
                <w:color w:val="000000"/>
                <w:sz w:val="22"/>
              </w:rPr>
              <w:t xml:space="preserve">m </w:t>
            </w:r>
          </w:p>
        </w:tc>
        <w:tc>
          <w:tcPr>
            <w:tcW w:w="2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3" w14:textId="77777777" w:rsidR="00CF53CD" w:rsidRDefault="00640BF0">
            <w:pPr>
              <w:widowControl w:val="0"/>
              <w:suppressAutoHyphens/>
              <w:jc w:val="center"/>
              <w:rPr>
                <w:color w:val="000000"/>
                <w:sz w:val="22"/>
              </w:rPr>
            </w:pPr>
            <w:r>
              <w:rPr>
                <w:color w:val="000000"/>
                <w:sz w:val="22"/>
              </w:rPr>
              <w:lastRenderedPageBreak/>
              <w:t xml:space="preserve">Cinkuota, laminuota „Trenchcoat </w:t>
            </w:r>
            <w:r>
              <w:rPr>
                <w:color w:val="000000"/>
                <w:sz w:val="22"/>
                <w:vertAlign w:val="superscript"/>
              </w:rPr>
              <w:t>TM</w:t>
            </w:r>
            <w:r>
              <w:rPr>
                <w:color w:val="000000"/>
                <w:sz w:val="22"/>
              </w:rPr>
              <w:t xml:space="preserve">“ plastiko </w:t>
            </w:r>
            <w:r>
              <w:rPr>
                <w:color w:val="000000"/>
                <w:sz w:val="22"/>
              </w:rPr>
              <w:lastRenderedPageBreak/>
              <w:t>plėvele danga, ?</w:t>
            </w:r>
            <w:r>
              <w:rPr>
                <w:vanish/>
                <w:color w:val="000000"/>
                <w:sz w:val="22"/>
              </w:rPr>
              <w:t>miu</w:t>
            </w:r>
            <w:r>
              <w:rPr>
                <w:color w:val="000000"/>
                <w:sz w:val="22"/>
              </w:rPr>
              <w:t xml:space="preserve">m </w:t>
            </w: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4" w14:textId="77777777" w:rsidR="00CF53CD" w:rsidRDefault="00640BF0">
            <w:pPr>
              <w:widowControl w:val="0"/>
              <w:suppressAutoHyphens/>
              <w:jc w:val="center"/>
              <w:rPr>
                <w:color w:val="000000"/>
                <w:sz w:val="22"/>
              </w:rPr>
            </w:pPr>
            <w:r>
              <w:rPr>
                <w:color w:val="000000"/>
                <w:sz w:val="22"/>
              </w:rPr>
              <w:lastRenderedPageBreak/>
              <w:t>Cinkuota, epoksidinė</w:t>
            </w:r>
            <w:r>
              <w:rPr>
                <w:color w:val="000000"/>
                <w:sz w:val="22"/>
              </w:rPr>
              <w:t xml:space="preserve"> danga, </w:t>
            </w:r>
            <w:r>
              <w:rPr>
                <w:color w:val="000000"/>
                <w:sz w:val="22"/>
              </w:rPr>
              <w:lastRenderedPageBreak/>
              <w:t>?</w:t>
            </w:r>
            <w:r>
              <w:rPr>
                <w:vanish/>
                <w:color w:val="000000"/>
                <w:sz w:val="22"/>
              </w:rPr>
              <w:t>miu</w:t>
            </w:r>
            <w:r>
              <w:rPr>
                <w:color w:val="000000"/>
                <w:sz w:val="22"/>
              </w:rPr>
              <w:t xml:space="preserve">m </w:t>
            </w:r>
          </w:p>
        </w:tc>
        <w:tc>
          <w:tcPr>
            <w:tcW w:w="2280"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28" w:type="dxa"/>
            </w:tcMar>
            <w:vAlign w:val="center"/>
          </w:tcPr>
          <w:p w14:paraId="030250A5" w14:textId="77777777" w:rsidR="00CF53CD" w:rsidRDefault="00640BF0">
            <w:pPr>
              <w:widowControl w:val="0"/>
              <w:suppressAutoHyphens/>
              <w:jc w:val="center"/>
              <w:rPr>
                <w:color w:val="000000"/>
                <w:sz w:val="22"/>
              </w:rPr>
            </w:pPr>
            <w:r>
              <w:rPr>
                <w:color w:val="000000"/>
                <w:sz w:val="22"/>
              </w:rPr>
              <w:lastRenderedPageBreak/>
              <w:t xml:space="preserve">Cinkuota, laminuota „Trenchcoat </w:t>
            </w:r>
            <w:r>
              <w:rPr>
                <w:color w:val="000000"/>
                <w:sz w:val="22"/>
                <w:vertAlign w:val="superscript"/>
              </w:rPr>
              <w:t>TM</w:t>
            </w:r>
            <w:r>
              <w:rPr>
                <w:color w:val="000000"/>
                <w:sz w:val="22"/>
              </w:rPr>
              <w:t xml:space="preserve">“ plastiko </w:t>
            </w:r>
            <w:r>
              <w:rPr>
                <w:color w:val="000000"/>
                <w:sz w:val="22"/>
              </w:rPr>
              <w:lastRenderedPageBreak/>
              <w:t>plėvele danga, ?</w:t>
            </w:r>
            <w:r>
              <w:rPr>
                <w:vanish/>
                <w:color w:val="000000"/>
                <w:sz w:val="22"/>
              </w:rPr>
              <w:t>miu</w:t>
            </w:r>
            <w:r>
              <w:rPr>
                <w:color w:val="000000"/>
                <w:sz w:val="22"/>
              </w:rPr>
              <w:t xml:space="preserve">m </w:t>
            </w:r>
          </w:p>
        </w:tc>
      </w:tr>
      <w:tr w:rsidR="00CF53CD" w14:paraId="030250AC" w14:textId="77777777">
        <w:trPr>
          <w:trHeight w:val="60"/>
        </w:trPr>
        <w:tc>
          <w:tcPr>
            <w:tcW w:w="129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7" w14:textId="77777777" w:rsidR="00CF53CD" w:rsidRDefault="00640BF0">
            <w:pPr>
              <w:widowControl w:val="0"/>
              <w:suppressAutoHyphens/>
              <w:jc w:val="center"/>
              <w:rPr>
                <w:color w:val="000000"/>
                <w:sz w:val="22"/>
              </w:rPr>
            </w:pPr>
            <w:r>
              <w:rPr>
                <w:color w:val="000000"/>
                <w:sz w:val="22"/>
              </w:rPr>
              <w:lastRenderedPageBreak/>
              <w:t xml:space="preserve">AM–I </w:t>
            </w: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8" w14:textId="77777777" w:rsidR="00CF53CD" w:rsidRDefault="00640BF0">
            <w:pPr>
              <w:widowControl w:val="0"/>
              <w:suppressAutoHyphens/>
              <w:jc w:val="center"/>
              <w:rPr>
                <w:color w:val="000000"/>
                <w:sz w:val="22"/>
              </w:rPr>
            </w:pPr>
            <w:r>
              <w:rPr>
                <w:color w:val="000000"/>
                <w:sz w:val="22"/>
              </w:rPr>
              <w:t xml:space="preserve">300 </w:t>
            </w:r>
          </w:p>
        </w:tc>
        <w:tc>
          <w:tcPr>
            <w:tcW w:w="2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9" w14:textId="77777777" w:rsidR="00CF53CD" w:rsidRDefault="00640BF0">
            <w:pPr>
              <w:widowControl w:val="0"/>
              <w:suppressAutoHyphens/>
              <w:jc w:val="center"/>
              <w:rPr>
                <w:color w:val="000000"/>
                <w:sz w:val="22"/>
              </w:rPr>
            </w:pPr>
            <w:r>
              <w:rPr>
                <w:color w:val="000000"/>
                <w:sz w:val="22"/>
              </w:rPr>
              <w:t xml:space="preserve">250 </w:t>
            </w: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A" w14:textId="77777777" w:rsidR="00CF53CD" w:rsidRDefault="00640BF0">
            <w:pPr>
              <w:widowControl w:val="0"/>
              <w:suppressAutoHyphens/>
              <w:jc w:val="center"/>
              <w:rPr>
                <w:color w:val="000000"/>
                <w:sz w:val="22"/>
              </w:rPr>
            </w:pPr>
            <w:r>
              <w:rPr>
                <w:color w:val="000000"/>
                <w:sz w:val="22"/>
              </w:rPr>
              <w:t xml:space="preserve">400 </w:t>
            </w:r>
          </w:p>
        </w:tc>
        <w:tc>
          <w:tcPr>
            <w:tcW w:w="2280"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28" w:type="dxa"/>
            </w:tcMar>
            <w:vAlign w:val="center"/>
          </w:tcPr>
          <w:p w14:paraId="030250AB" w14:textId="77777777" w:rsidR="00CF53CD" w:rsidRDefault="00640BF0">
            <w:pPr>
              <w:widowControl w:val="0"/>
              <w:suppressAutoHyphens/>
              <w:jc w:val="center"/>
              <w:rPr>
                <w:color w:val="000000"/>
                <w:sz w:val="22"/>
              </w:rPr>
            </w:pPr>
            <w:r>
              <w:rPr>
                <w:color w:val="000000"/>
                <w:sz w:val="22"/>
              </w:rPr>
              <w:t xml:space="preserve">250 </w:t>
            </w:r>
          </w:p>
        </w:tc>
      </w:tr>
      <w:tr w:rsidR="00CF53CD" w14:paraId="030250B2" w14:textId="77777777">
        <w:trPr>
          <w:trHeight w:val="60"/>
        </w:trPr>
        <w:tc>
          <w:tcPr>
            <w:tcW w:w="129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D" w14:textId="77777777" w:rsidR="00CF53CD" w:rsidRDefault="00640BF0">
            <w:pPr>
              <w:widowControl w:val="0"/>
              <w:suppressAutoHyphens/>
              <w:jc w:val="center"/>
              <w:rPr>
                <w:color w:val="000000"/>
                <w:sz w:val="22"/>
              </w:rPr>
            </w:pPr>
            <w:r>
              <w:rPr>
                <w:color w:val="000000"/>
                <w:sz w:val="22"/>
              </w:rPr>
              <w:t xml:space="preserve">II–IV </w:t>
            </w: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E" w14:textId="77777777" w:rsidR="00CF53CD" w:rsidRDefault="00640BF0">
            <w:pPr>
              <w:widowControl w:val="0"/>
              <w:suppressAutoHyphens/>
              <w:jc w:val="center"/>
              <w:rPr>
                <w:color w:val="000000"/>
                <w:sz w:val="22"/>
              </w:rPr>
            </w:pPr>
            <w:r>
              <w:rPr>
                <w:color w:val="000000"/>
                <w:sz w:val="22"/>
              </w:rPr>
              <w:t xml:space="preserve">200 </w:t>
            </w:r>
          </w:p>
        </w:tc>
        <w:tc>
          <w:tcPr>
            <w:tcW w:w="2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AF" w14:textId="77777777" w:rsidR="00CF53CD" w:rsidRDefault="00640BF0">
            <w:pPr>
              <w:widowControl w:val="0"/>
              <w:suppressAutoHyphens/>
              <w:jc w:val="center"/>
              <w:rPr>
                <w:color w:val="000000"/>
                <w:sz w:val="22"/>
              </w:rPr>
            </w:pPr>
            <w:r>
              <w:rPr>
                <w:color w:val="000000"/>
                <w:sz w:val="22"/>
              </w:rPr>
              <w:t xml:space="preserve">250 </w:t>
            </w: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B0" w14:textId="77777777" w:rsidR="00CF53CD" w:rsidRDefault="00640BF0">
            <w:pPr>
              <w:widowControl w:val="0"/>
              <w:suppressAutoHyphens/>
              <w:jc w:val="center"/>
              <w:rPr>
                <w:color w:val="000000"/>
                <w:sz w:val="22"/>
              </w:rPr>
            </w:pPr>
            <w:r>
              <w:rPr>
                <w:color w:val="000000"/>
                <w:sz w:val="22"/>
              </w:rPr>
              <w:t xml:space="preserve">300 </w:t>
            </w:r>
          </w:p>
        </w:tc>
        <w:tc>
          <w:tcPr>
            <w:tcW w:w="2280"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28" w:type="dxa"/>
            </w:tcMar>
            <w:vAlign w:val="center"/>
          </w:tcPr>
          <w:p w14:paraId="030250B1" w14:textId="77777777" w:rsidR="00CF53CD" w:rsidRDefault="00640BF0">
            <w:pPr>
              <w:widowControl w:val="0"/>
              <w:suppressAutoHyphens/>
              <w:jc w:val="center"/>
              <w:rPr>
                <w:color w:val="000000"/>
                <w:sz w:val="22"/>
              </w:rPr>
            </w:pPr>
            <w:r>
              <w:rPr>
                <w:color w:val="000000"/>
                <w:sz w:val="22"/>
              </w:rPr>
              <w:t xml:space="preserve">250 </w:t>
            </w:r>
          </w:p>
        </w:tc>
      </w:tr>
      <w:tr w:rsidR="00CF53CD" w14:paraId="030250B8" w14:textId="77777777">
        <w:trPr>
          <w:trHeight w:val="60"/>
        </w:trPr>
        <w:tc>
          <w:tcPr>
            <w:tcW w:w="1291"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B3" w14:textId="77777777" w:rsidR="00CF53CD" w:rsidRDefault="00640BF0">
            <w:pPr>
              <w:widowControl w:val="0"/>
              <w:suppressAutoHyphens/>
              <w:jc w:val="center"/>
              <w:rPr>
                <w:color w:val="000000"/>
                <w:sz w:val="22"/>
              </w:rPr>
            </w:pPr>
            <w:r>
              <w:rPr>
                <w:color w:val="000000"/>
                <w:sz w:val="22"/>
              </w:rPr>
              <w:t xml:space="preserve">V </w:t>
            </w: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B4" w14:textId="77777777" w:rsidR="00CF53CD" w:rsidRDefault="00640BF0">
            <w:pPr>
              <w:widowControl w:val="0"/>
              <w:suppressAutoHyphens/>
              <w:jc w:val="center"/>
              <w:rPr>
                <w:color w:val="000000"/>
                <w:sz w:val="22"/>
              </w:rPr>
            </w:pPr>
            <w:r>
              <w:rPr>
                <w:color w:val="000000"/>
                <w:sz w:val="22"/>
              </w:rPr>
              <w:t xml:space="preserve">200 </w:t>
            </w:r>
          </w:p>
        </w:tc>
        <w:tc>
          <w:tcPr>
            <w:tcW w:w="22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B5" w14:textId="77777777" w:rsidR="00CF53CD" w:rsidRDefault="00640BF0">
            <w:pPr>
              <w:widowControl w:val="0"/>
              <w:suppressAutoHyphens/>
              <w:jc w:val="center"/>
              <w:rPr>
                <w:color w:val="000000"/>
                <w:sz w:val="22"/>
              </w:rPr>
            </w:pPr>
            <w:r>
              <w:rPr>
                <w:color w:val="000000"/>
                <w:sz w:val="22"/>
              </w:rPr>
              <w:t xml:space="preserve">250 </w:t>
            </w:r>
          </w:p>
        </w:tc>
        <w:tc>
          <w:tcPr>
            <w:tcW w:w="168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14:paraId="030250B6" w14:textId="77777777" w:rsidR="00CF53CD" w:rsidRDefault="00640BF0">
            <w:pPr>
              <w:widowControl w:val="0"/>
              <w:suppressAutoHyphens/>
              <w:jc w:val="center"/>
              <w:rPr>
                <w:color w:val="000000"/>
                <w:sz w:val="22"/>
              </w:rPr>
            </w:pPr>
            <w:r>
              <w:rPr>
                <w:color w:val="000000"/>
                <w:sz w:val="22"/>
              </w:rPr>
              <w:t xml:space="preserve">200 </w:t>
            </w:r>
          </w:p>
        </w:tc>
        <w:tc>
          <w:tcPr>
            <w:tcW w:w="2280"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28" w:type="dxa"/>
            </w:tcMar>
            <w:vAlign w:val="center"/>
          </w:tcPr>
          <w:p w14:paraId="030250B7" w14:textId="77777777" w:rsidR="00CF53CD" w:rsidRDefault="00640BF0">
            <w:pPr>
              <w:widowControl w:val="0"/>
              <w:suppressAutoHyphens/>
              <w:jc w:val="center"/>
              <w:rPr>
                <w:color w:val="000000"/>
                <w:sz w:val="22"/>
              </w:rPr>
            </w:pPr>
            <w:r>
              <w:rPr>
                <w:color w:val="000000"/>
                <w:sz w:val="22"/>
              </w:rPr>
              <w:t xml:space="preserve">250 </w:t>
            </w:r>
          </w:p>
        </w:tc>
      </w:tr>
      <w:tr w:rsidR="00CF53CD" w14:paraId="030250BF" w14:textId="77777777">
        <w:trPr>
          <w:trHeight w:val="60"/>
        </w:trPr>
        <w:tc>
          <w:tcPr>
            <w:tcW w:w="9211" w:type="dxa"/>
            <w:gridSpan w:val="5"/>
            <w:tcBorders>
              <w:top w:val="single" w:sz="4" w:space="0" w:color="000000"/>
              <w:left w:val="single" w:sz="4" w:space="0" w:color="000000"/>
              <w:bottom w:val="single" w:sz="4" w:space="0" w:color="000000"/>
              <w:right w:val="single" w:sz="4" w:space="0" w:color="auto"/>
            </w:tcBorders>
            <w:tcMar>
              <w:top w:w="57" w:type="dxa"/>
              <w:left w:w="28" w:type="dxa"/>
              <w:bottom w:w="57" w:type="dxa"/>
              <w:right w:w="28" w:type="dxa"/>
            </w:tcMar>
            <w:vAlign w:val="center"/>
          </w:tcPr>
          <w:p w14:paraId="030250B9" w14:textId="77777777" w:rsidR="00CF53CD" w:rsidRDefault="00640BF0">
            <w:pPr>
              <w:widowControl w:val="0"/>
              <w:suppressAutoHyphens/>
              <w:ind w:left="360"/>
              <w:rPr>
                <w:b/>
                <w:bCs/>
                <w:color w:val="000000"/>
                <w:sz w:val="22"/>
              </w:rPr>
            </w:pPr>
            <w:r>
              <w:rPr>
                <w:b/>
                <w:bCs/>
                <w:color w:val="000000"/>
                <w:sz w:val="22"/>
              </w:rPr>
              <w:t>Pastabos:</w:t>
            </w:r>
          </w:p>
          <w:p w14:paraId="030250BA" w14:textId="77777777" w:rsidR="00CF53CD" w:rsidRDefault="00640BF0">
            <w:pPr>
              <w:widowControl w:val="0"/>
              <w:suppressAutoHyphens/>
              <w:ind w:left="360"/>
              <w:rPr>
                <w:color w:val="000000"/>
                <w:sz w:val="22"/>
              </w:rPr>
            </w:pPr>
            <w:r>
              <w:rPr>
                <w:color w:val="000000"/>
                <w:sz w:val="22"/>
              </w:rPr>
              <w:t xml:space="preserve">1. Ilgaamžiškumo skaičiavimuose pasirenkama papildoma 0,5 mm metalo sluoksnio </w:t>
            </w:r>
            <w:r>
              <w:rPr>
                <w:color w:val="000000"/>
                <w:sz w:val="22"/>
              </w:rPr>
              <w:t>atsarga.</w:t>
            </w:r>
          </w:p>
          <w:p w14:paraId="030250BB" w14:textId="77777777" w:rsidR="00CF53CD" w:rsidRDefault="00640BF0">
            <w:pPr>
              <w:widowControl w:val="0"/>
              <w:suppressAutoHyphens/>
              <w:ind w:left="360"/>
              <w:rPr>
                <w:color w:val="000000"/>
                <w:sz w:val="22"/>
              </w:rPr>
            </w:pPr>
            <w:r>
              <w:rPr>
                <w:color w:val="000000"/>
                <w:sz w:val="22"/>
              </w:rPr>
              <w:t>2. Laminuotos plastiko plėvele dangos naudojamos tik spirališkai gofruotiems vamzdžiams.</w:t>
            </w:r>
          </w:p>
          <w:p w14:paraId="030250BC" w14:textId="77777777" w:rsidR="00CF53CD" w:rsidRDefault="00640BF0">
            <w:pPr>
              <w:widowControl w:val="0"/>
              <w:suppressAutoHyphens/>
              <w:ind w:left="360"/>
              <w:rPr>
                <w:color w:val="000000"/>
                <w:sz w:val="22"/>
              </w:rPr>
            </w:pPr>
            <w:r>
              <w:rPr>
                <w:color w:val="000000"/>
                <w:sz w:val="22"/>
              </w:rPr>
              <w:t>3. Vandens greičio apribojimai:</w:t>
            </w:r>
          </w:p>
          <w:p w14:paraId="030250BD" w14:textId="77777777" w:rsidR="00CF53CD" w:rsidRDefault="00640BF0">
            <w:pPr>
              <w:widowControl w:val="0"/>
              <w:suppressAutoHyphens/>
              <w:ind w:left="360"/>
              <w:rPr>
                <w:color w:val="000000"/>
                <w:sz w:val="22"/>
              </w:rPr>
            </w:pPr>
            <w:r>
              <w:rPr>
                <w:color w:val="000000"/>
                <w:sz w:val="22"/>
              </w:rPr>
              <w:t>3.1. kai vidutinis srovės greitis ne potvynio metu yra nuo 1,5 iki 4,5 m/s, tada minimalus papildomos epoksidinės dangos stori</w:t>
            </w:r>
            <w:r>
              <w:rPr>
                <w:color w:val="000000"/>
                <w:sz w:val="22"/>
              </w:rPr>
              <w:t>s turi būti 400 ?</w:t>
            </w:r>
            <w:r>
              <w:rPr>
                <w:vanish/>
                <w:color w:val="000000"/>
                <w:sz w:val="22"/>
              </w:rPr>
              <w:t>miu</w:t>
            </w:r>
            <w:r>
              <w:rPr>
                <w:color w:val="000000"/>
                <w:sz w:val="22"/>
              </w:rPr>
              <w:t>m, net jei 3 lentelėje nurodyta mažesnė reikšmė;</w:t>
            </w:r>
          </w:p>
          <w:p w14:paraId="030250BE" w14:textId="77777777" w:rsidR="00CF53CD" w:rsidRDefault="00640BF0">
            <w:pPr>
              <w:widowControl w:val="0"/>
              <w:suppressAutoHyphens/>
              <w:ind w:left="360"/>
              <w:rPr>
                <w:color w:val="000000"/>
                <w:sz w:val="22"/>
              </w:rPr>
            </w:pPr>
            <w:r>
              <w:rPr>
                <w:color w:val="000000"/>
                <w:sz w:val="22"/>
              </w:rPr>
              <w:t>3.2. kai vidutinės srovės greitis ne potvynio metu yra daugiau kaip 4,5 m/s, tada atlikus 3 lentelėje nurodytą padengimą pralaidos dugnas turi būti papildomai betonuojamas.</w:t>
            </w:r>
          </w:p>
        </w:tc>
      </w:tr>
    </w:tbl>
    <w:p w14:paraId="030250C0" w14:textId="77777777" w:rsidR="00CF53CD" w:rsidRDefault="00640BF0">
      <w:pPr>
        <w:widowControl w:val="0"/>
        <w:suppressAutoHyphens/>
        <w:jc w:val="right"/>
        <w:rPr>
          <w:color w:val="000000"/>
        </w:rPr>
      </w:pPr>
      <w:r>
        <w:rPr>
          <w:color w:val="000000"/>
        </w:rPr>
        <w:t>“</w:t>
      </w:r>
    </w:p>
    <w:p w14:paraId="030250C1" w14:textId="77777777" w:rsidR="00CF53CD" w:rsidRDefault="00640BF0">
      <w:pPr>
        <w:widowControl w:val="0"/>
        <w:suppressAutoHyphens/>
        <w:ind w:firstLine="567"/>
        <w:jc w:val="both"/>
        <w:rPr>
          <w:color w:val="000000"/>
        </w:rPr>
      </w:pPr>
      <w:r>
        <w:rPr>
          <w:color w:val="000000"/>
        </w:rPr>
        <w:t>8</w:t>
      </w:r>
      <w:r>
        <w:rPr>
          <w:color w:val="000000"/>
        </w:rPr>
        <w:t xml:space="preserve">. </w:t>
      </w:r>
      <w:r>
        <w:rPr>
          <w:color w:val="000000"/>
        </w:rPr>
        <w:t>Išdėstau taisyklių I dalies IV skyriaus II skirsnio 14 punktą taip:</w:t>
      </w:r>
    </w:p>
    <w:p w14:paraId="030250C2" w14:textId="77777777" w:rsidR="00CF53CD" w:rsidRDefault="00640BF0">
      <w:pPr>
        <w:widowControl w:val="0"/>
        <w:suppressAutoHyphens/>
        <w:ind w:firstLine="567"/>
        <w:jc w:val="both"/>
        <w:rPr>
          <w:color w:val="000000"/>
        </w:rPr>
      </w:pPr>
      <w:r>
        <w:rPr>
          <w:color w:val="000000"/>
        </w:rPr>
        <w:t>„</w:t>
      </w:r>
      <w:r>
        <w:rPr>
          <w:color w:val="000000"/>
        </w:rPr>
        <w:t>14</w:t>
      </w:r>
      <w:r>
        <w:rPr>
          <w:color w:val="000000"/>
        </w:rPr>
        <w:t>. Pralaidų iš spirališkai gofruotų vamzdžių saugaus naudojimo laikas nustatomas įvertinant aplinkos agresyvumo pobūdį, kelio kategoriją ir pasirinktą antikorozinės dangos sistemą.“</w:t>
      </w:r>
    </w:p>
    <w:p w14:paraId="030250C3" w14:textId="77777777" w:rsidR="00CF53CD" w:rsidRDefault="00640BF0">
      <w:pPr>
        <w:widowControl w:val="0"/>
        <w:suppressAutoHyphens/>
        <w:ind w:firstLine="567"/>
        <w:jc w:val="both"/>
        <w:rPr>
          <w:color w:val="000000"/>
        </w:rPr>
      </w:pPr>
      <w:r>
        <w:rPr>
          <w:color w:val="000000"/>
        </w:rPr>
        <w:t>9</w:t>
      </w:r>
      <w:r>
        <w:rPr>
          <w:color w:val="000000"/>
        </w:rPr>
        <w:t>. Išdėstau taisyklių I dalies IV skyriaus II skirsnio 17 punktą taip:</w:t>
      </w:r>
    </w:p>
    <w:p w14:paraId="030250C4" w14:textId="77777777" w:rsidR="00CF53CD" w:rsidRDefault="00640BF0">
      <w:pPr>
        <w:widowControl w:val="0"/>
        <w:suppressAutoHyphens/>
        <w:ind w:firstLine="567"/>
        <w:jc w:val="both"/>
        <w:rPr>
          <w:color w:val="000000"/>
          <w:spacing w:val="-2"/>
        </w:rPr>
      </w:pPr>
      <w:r>
        <w:rPr>
          <w:color w:val="000000"/>
          <w:spacing w:val="-2"/>
        </w:rPr>
        <w:t>„</w:t>
      </w:r>
      <w:r>
        <w:rPr>
          <w:color w:val="000000"/>
          <w:spacing w:val="-2"/>
        </w:rPr>
        <w:t>17</w:t>
      </w:r>
      <w:r>
        <w:rPr>
          <w:color w:val="000000"/>
          <w:spacing w:val="-2"/>
        </w:rPr>
        <w:t>. Pasirenkama, kad metalinių pralaidų metalo ir antikorozinės sistemos dangų irimo greitis normalioje aplinkoje yra:</w:t>
      </w:r>
    </w:p>
    <w:p w14:paraId="030250C5" w14:textId="77777777" w:rsidR="00CF53CD" w:rsidRDefault="00640BF0">
      <w:pPr>
        <w:widowControl w:val="0"/>
        <w:suppressAutoHyphens/>
        <w:ind w:firstLine="567"/>
        <w:jc w:val="both"/>
        <w:rPr>
          <w:color w:val="000000"/>
        </w:rPr>
      </w:pPr>
      <w:r>
        <w:rPr>
          <w:color w:val="000000"/>
        </w:rPr>
        <w:t xml:space="preserve">– plieno – nuo 30 iki 75 </w:t>
      </w:r>
      <w:r>
        <w:rPr>
          <w:color w:val="000000"/>
          <w:sz w:val="22"/>
        </w:rPr>
        <w:t>?</w:t>
      </w:r>
      <w:r>
        <w:rPr>
          <w:vanish/>
          <w:color w:val="000000"/>
          <w:sz w:val="22"/>
        </w:rPr>
        <w:t>miu</w:t>
      </w:r>
      <w:r>
        <w:rPr>
          <w:color w:val="000000"/>
        </w:rPr>
        <w:t>m/metus;</w:t>
      </w:r>
    </w:p>
    <w:p w14:paraId="030250C6" w14:textId="77777777" w:rsidR="00CF53CD" w:rsidRDefault="00640BF0">
      <w:pPr>
        <w:widowControl w:val="0"/>
        <w:suppressAutoHyphens/>
        <w:ind w:firstLine="567"/>
        <w:jc w:val="both"/>
        <w:rPr>
          <w:color w:val="000000"/>
        </w:rPr>
      </w:pPr>
      <w:r>
        <w:rPr>
          <w:color w:val="000000"/>
        </w:rPr>
        <w:t>– cinko – nuo 2 iki</w:t>
      </w:r>
      <w:r>
        <w:rPr>
          <w:color w:val="000000"/>
        </w:rPr>
        <w:t xml:space="preserve"> 5 </w:t>
      </w:r>
      <w:r>
        <w:rPr>
          <w:color w:val="000000"/>
          <w:sz w:val="22"/>
        </w:rPr>
        <w:t>?</w:t>
      </w:r>
      <w:r>
        <w:rPr>
          <w:vanish/>
          <w:color w:val="000000"/>
          <w:sz w:val="22"/>
        </w:rPr>
        <w:t>miu</w:t>
      </w:r>
      <w:r>
        <w:rPr>
          <w:color w:val="000000"/>
        </w:rPr>
        <w:t>m/metus;</w:t>
      </w:r>
    </w:p>
    <w:p w14:paraId="030250C7" w14:textId="77777777" w:rsidR="00CF53CD" w:rsidRDefault="00640BF0">
      <w:pPr>
        <w:widowControl w:val="0"/>
        <w:suppressAutoHyphens/>
        <w:ind w:firstLine="567"/>
        <w:jc w:val="both"/>
        <w:rPr>
          <w:color w:val="000000"/>
        </w:rPr>
      </w:pPr>
      <w:r>
        <w:rPr>
          <w:color w:val="000000"/>
        </w:rPr>
        <w:t xml:space="preserve">– aliuminio – nuo 5 iki 13 </w:t>
      </w:r>
      <w:r>
        <w:rPr>
          <w:color w:val="000000"/>
          <w:sz w:val="22"/>
        </w:rPr>
        <w:t>?</w:t>
      </w:r>
      <w:r>
        <w:rPr>
          <w:vanish/>
          <w:color w:val="000000"/>
          <w:sz w:val="22"/>
        </w:rPr>
        <w:t>miu</w:t>
      </w:r>
      <w:r>
        <w:rPr>
          <w:color w:val="000000"/>
        </w:rPr>
        <w:t>m/metus;</w:t>
      </w:r>
    </w:p>
    <w:p w14:paraId="030250C8" w14:textId="77777777" w:rsidR="00CF53CD" w:rsidRDefault="00640BF0">
      <w:pPr>
        <w:widowControl w:val="0"/>
        <w:suppressAutoHyphens/>
        <w:ind w:firstLine="567"/>
        <w:jc w:val="both"/>
        <w:rPr>
          <w:color w:val="000000"/>
        </w:rPr>
      </w:pPr>
      <w:r>
        <w:rPr>
          <w:color w:val="000000"/>
        </w:rPr>
        <w:t xml:space="preserve">– epoksidinės – nuo 3 iki 8 </w:t>
      </w:r>
      <w:r>
        <w:rPr>
          <w:color w:val="000000"/>
          <w:sz w:val="22"/>
        </w:rPr>
        <w:t>?</w:t>
      </w:r>
      <w:r>
        <w:rPr>
          <w:vanish/>
          <w:color w:val="000000"/>
          <w:sz w:val="22"/>
        </w:rPr>
        <w:t>miu</w:t>
      </w:r>
      <w:r>
        <w:rPr>
          <w:color w:val="000000"/>
        </w:rPr>
        <w:t>m/metus;</w:t>
      </w:r>
    </w:p>
    <w:p w14:paraId="030250C9" w14:textId="77777777" w:rsidR="00CF53CD" w:rsidRDefault="00640BF0">
      <w:pPr>
        <w:widowControl w:val="0"/>
        <w:suppressAutoHyphens/>
        <w:ind w:firstLine="567"/>
        <w:jc w:val="both"/>
        <w:rPr>
          <w:color w:val="000000"/>
        </w:rPr>
      </w:pPr>
      <w:r>
        <w:rPr>
          <w:color w:val="000000"/>
        </w:rPr>
        <w:t xml:space="preserve">– laminuotos plastiko plėvele – iki 2 </w:t>
      </w:r>
      <w:r>
        <w:rPr>
          <w:color w:val="000000"/>
          <w:sz w:val="22"/>
        </w:rPr>
        <w:t>?</w:t>
      </w:r>
      <w:r>
        <w:rPr>
          <w:vanish/>
          <w:color w:val="000000"/>
          <w:sz w:val="22"/>
        </w:rPr>
        <w:t>miu</w:t>
      </w:r>
      <w:r>
        <w:rPr>
          <w:color w:val="000000"/>
        </w:rPr>
        <w:t>m/metus.“</w:t>
      </w:r>
    </w:p>
    <w:p w14:paraId="030250CA" w14:textId="77777777" w:rsidR="00CF53CD" w:rsidRDefault="00640BF0">
      <w:pPr>
        <w:widowControl w:val="0"/>
        <w:suppressAutoHyphens/>
        <w:ind w:firstLine="567"/>
        <w:jc w:val="both"/>
        <w:rPr>
          <w:color w:val="000000"/>
        </w:rPr>
      </w:pPr>
      <w:r>
        <w:rPr>
          <w:color w:val="000000"/>
        </w:rPr>
        <w:t>10</w:t>
      </w:r>
      <w:r>
        <w:rPr>
          <w:color w:val="000000"/>
        </w:rPr>
        <w:t>. Išdėstau taisyklių I dalies IV skyriaus II skirsnio 18 punktą taip:</w:t>
      </w:r>
    </w:p>
    <w:p w14:paraId="030250CB" w14:textId="77777777" w:rsidR="00CF53CD" w:rsidRDefault="00640BF0">
      <w:pPr>
        <w:widowControl w:val="0"/>
        <w:suppressAutoHyphens/>
        <w:ind w:firstLine="567"/>
        <w:jc w:val="both"/>
        <w:rPr>
          <w:color w:val="000000"/>
        </w:rPr>
      </w:pPr>
      <w:r>
        <w:rPr>
          <w:color w:val="000000"/>
        </w:rPr>
        <w:t>„</w:t>
      </w:r>
      <w:r>
        <w:rPr>
          <w:color w:val="000000"/>
        </w:rPr>
        <w:t>18</w:t>
      </w:r>
      <w:r>
        <w:rPr>
          <w:color w:val="000000"/>
        </w:rPr>
        <w:t>. Pasirenkama, kad met</w:t>
      </w:r>
      <w:r>
        <w:rPr>
          <w:color w:val="000000"/>
        </w:rPr>
        <w:t>alinių pralaidų metalo ir antikorozinės sistemos dangų irimo greitis padidinto agresyvumo aplinkoje yra:</w:t>
      </w:r>
    </w:p>
    <w:p w14:paraId="030250CC" w14:textId="77777777" w:rsidR="00CF53CD" w:rsidRDefault="00640BF0">
      <w:pPr>
        <w:widowControl w:val="0"/>
        <w:suppressAutoHyphens/>
        <w:ind w:firstLine="567"/>
        <w:jc w:val="both"/>
        <w:rPr>
          <w:color w:val="000000"/>
        </w:rPr>
      </w:pPr>
      <w:r>
        <w:rPr>
          <w:color w:val="000000"/>
        </w:rPr>
        <w:t xml:space="preserve">– plieno – nuo 75 iki 120 </w:t>
      </w:r>
      <w:r>
        <w:rPr>
          <w:color w:val="000000"/>
          <w:sz w:val="22"/>
        </w:rPr>
        <w:t>?</w:t>
      </w:r>
      <w:r>
        <w:rPr>
          <w:vanish/>
          <w:color w:val="000000"/>
          <w:sz w:val="22"/>
        </w:rPr>
        <w:t>miu</w:t>
      </w:r>
      <w:r>
        <w:rPr>
          <w:color w:val="000000"/>
        </w:rPr>
        <w:t>m/metus;</w:t>
      </w:r>
    </w:p>
    <w:p w14:paraId="030250CD" w14:textId="77777777" w:rsidR="00CF53CD" w:rsidRDefault="00640BF0">
      <w:pPr>
        <w:widowControl w:val="0"/>
        <w:suppressAutoHyphens/>
        <w:ind w:firstLine="567"/>
        <w:jc w:val="both"/>
        <w:rPr>
          <w:color w:val="000000"/>
        </w:rPr>
      </w:pPr>
      <w:r>
        <w:rPr>
          <w:color w:val="000000"/>
        </w:rPr>
        <w:t xml:space="preserve">– cinko – nuo 5 iki 8 </w:t>
      </w:r>
      <w:r>
        <w:rPr>
          <w:color w:val="000000"/>
          <w:sz w:val="22"/>
        </w:rPr>
        <w:t>?</w:t>
      </w:r>
      <w:r>
        <w:rPr>
          <w:vanish/>
          <w:color w:val="000000"/>
          <w:sz w:val="22"/>
        </w:rPr>
        <w:t>miu</w:t>
      </w:r>
      <w:r>
        <w:rPr>
          <w:color w:val="000000"/>
        </w:rPr>
        <w:t>m/metus;</w:t>
      </w:r>
    </w:p>
    <w:p w14:paraId="030250CE" w14:textId="77777777" w:rsidR="00CF53CD" w:rsidRDefault="00640BF0">
      <w:pPr>
        <w:widowControl w:val="0"/>
        <w:suppressAutoHyphens/>
        <w:ind w:firstLine="567"/>
        <w:jc w:val="both"/>
        <w:rPr>
          <w:color w:val="000000"/>
        </w:rPr>
      </w:pPr>
      <w:r>
        <w:rPr>
          <w:color w:val="000000"/>
        </w:rPr>
        <w:t xml:space="preserve">– aliuminio – nuo &gt;13 </w:t>
      </w:r>
      <w:r>
        <w:rPr>
          <w:color w:val="000000"/>
          <w:sz w:val="22"/>
        </w:rPr>
        <w:t>?</w:t>
      </w:r>
      <w:r>
        <w:rPr>
          <w:vanish/>
          <w:color w:val="000000"/>
          <w:sz w:val="22"/>
        </w:rPr>
        <w:t>miu</w:t>
      </w:r>
      <w:r>
        <w:rPr>
          <w:color w:val="000000"/>
        </w:rPr>
        <w:t>m/metus (ir kai chlorido kiekis vandenyje &gt;2%);</w:t>
      </w:r>
    </w:p>
    <w:p w14:paraId="030250CF" w14:textId="77777777" w:rsidR="00CF53CD" w:rsidRDefault="00640BF0">
      <w:pPr>
        <w:widowControl w:val="0"/>
        <w:suppressAutoHyphens/>
        <w:ind w:firstLine="567"/>
        <w:jc w:val="both"/>
        <w:rPr>
          <w:color w:val="000000"/>
        </w:rPr>
      </w:pPr>
      <w:r>
        <w:rPr>
          <w:color w:val="000000"/>
        </w:rPr>
        <w:t xml:space="preserve">– epoksidinės – nuo 8 iki 12 </w:t>
      </w:r>
      <w:r>
        <w:rPr>
          <w:color w:val="000000"/>
          <w:sz w:val="22"/>
        </w:rPr>
        <w:t>?</w:t>
      </w:r>
      <w:r>
        <w:rPr>
          <w:vanish/>
          <w:color w:val="000000"/>
          <w:sz w:val="22"/>
        </w:rPr>
        <w:t>miu</w:t>
      </w:r>
      <w:r>
        <w:rPr>
          <w:color w:val="000000"/>
        </w:rPr>
        <w:t>m/metus;</w:t>
      </w:r>
    </w:p>
    <w:p w14:paraId="030250D2" w14:textId="7DDC27BA" w:rsidR="00CF53CD" w:rsidRDefault="00640BF0" w:rsidP="00640BF0">
      <w:pPr>
        <w:widowControl w:val="0"/>
        <w:suppressAutoHyphens/>
        <w:ind w:firstLine="567"/>
        <w:jc w:val="both"/>
        <w:rPr>
          <w:color w:val="000000"/>
        </w:rPr>
      </w:pPr>
      <w:r>
        <w:rPr>
          <w:color w:val="000000"/>
        </w:rPr>
        <w:t xml:space="preserve">– laminuotos plastiko plėvele – nuo 2 iki 3 </w:t>
      </w:r>
      <w:r>
        <w:rPr>
          <w:color w:val="000000"/>
          <w:sz w:val="22"/>
        </w:rPr>
        <w:t>?</w:t>
      </w:r>
      <w:proofErr w:type="spellStart"/>
      <w:r>
        <w:rPr>
          <w:vanish/>
          <w:color w:val="000000"/>
          <w:sz w:val="22"/>
        </w:rPr>
        <w:t>miu</w:t>
      </w:r>
      <w:r>
        <w:rPr>
          <w:color w:val="000000"/>
        </w:rPr>
        <w:t>m</w:t>
      </w:r>
      <w:proofErr w:type="spellEnd"/>
      <w:r>
        <w:rPr>
          <w:color w:val="000000"/>
        </w:rPr>
        <w:t>/metus.“</w:t>
      </w:r>
    </w:p>
    <w:p w14:paraId="5AF8E678" w14:textId="77777777" w:rsidR="00640BF0" w:rsidRDefault="00640BF0">
      <w:pPr>
        <w:widowControl w:val="0"/>
        <w:tabs>
          <w:tab w:val="right" w:pos="9071"/>
        </w:tabs>
        <w:suppressAutoHyphens/>
        <w:rPr>
          <w:caps/>
          <w:color w:val="000000"/>
        </w:rPr>
      </w:pPr>
    </w:p>
    <w:p w14:paraId="54C72CDD" w14:textId="77777777" w:rsidR="00640BF0" w:rsidRDefault="00640BF0">
      <w:pPr>
        <w:widowControl w:val="0"/>
        <w:tabs>
          <w:tab w:val="right" w:pos="9071"/>
        </w:tabs>
        <w:suppressAutoHyphens/>
        <w:rPr>
          <w:caps/>
          <w:color w:val="000000"/>
        </w:rPr>
      </w:pPr>
    </w:p>
    <w:p w14:paraId="030250D5" w14:textId="6DB58EA0" w:rsidR="00CF53CD" w:rsidRDefault="00640BF0" w:rsidP="00640BF0">
      <w:pPr>
        <w:widowControl w:val="0"/>
        <w:tabs>
          <w:tab w:val="right" w:pos="9071"/>
        </w:tabs>
        <w:suppressAutoHyphens/>
      </w:pPr>
      <w:r>
        <w:rPr>
          <w:caps/>
          <w:color w:val="000000"/>
        </w:rPr>
        <w:t xml:space="preserve">Direktorius </w:t>
      </w:r>
      <w:r>
        <w:rPr>
          <w:caps/>
          <w:color w:val="000000"/>
        </w:rPr>
        <w:tab/>
        <w:t>Skirmantas Skrinskas</w:t>
      </w:r>
    </w:p>
    <w:bookmarkStart w:id="0" w:name="_GoBack" w:displacedByCustomXml="next"/>
    <w:bookmarkEnd w:id="0" w:displacedByCustomXml="next"/>
    <w:sectPr w:rsidR="00CF53CD">
      <w:headerReference w:type="even" r:id="rId25"/>
      <w:headerReference w:type="default" r:id="rId26"/>
      <w:footerReference w:type="even" r:id="rId27"/>
      <w:footerReference w:type="default" r:id="rId28"/>
      <w:headerReference w:type="first" r:id="rId29"/>
      <w:footerReference w:type="first" r:id="rId3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250DD" w14:textId="77777777" w:rsidR="00CF53CD" w:rsidRDefault="00640BF0">
      <w:r>
        <w:separator/>
      </w:r>
    </w:p>
  </w:endnote>
  <w:endnote w:type="continuationSeparator" w:id="0">
    <w:p w14:paraId="030250DE" w14:textId="77777777" w:rsidR="00CF53CD" w:rsidRDefault="0064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50E1" w14:textId="77777777" w:rsidR="00CF53CD" w:rsidRDefault="00CF53CD">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50E2" w14:textId="77777777" w:rsidR="00CF53CD" w:rsidRDefault="00CF53CD">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50E4" w14:textId="77777777" w:rsidR="00CF53CD" w:rsidRDefault="00CF53CD">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50DB" w14:textId="77777777" w:rsidR="00CF53CD" w:rsidRDefault="00640BF0">
      <w:r>
        <w:separator/>
      </w:r>
    </w:p>
  </w:footnote>
  <w:footnote w:type="continuationSeparator" w:id="0">
    <w:p w14:paraId="030250DC" w14:textId="77777777" w:rsidR="00CF53CD" w:rsidRDefault="0064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50DF" w14:textId="77777777" w:rsidR="00CF53CD" w:rsidRDefault="00CF53C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50E0" w14:textId="77777777" w:rsidR="00CF53CD" w:rsidRDefault="00CF53C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50E3" w14:textId="77777777" w:rsidR="00CF53CD" w:rsidRDefault="00CF53C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F2"/>
    <w:rsid w:val="00640BF0"/>
    <w:rsid w:val="00641BF2"/>
    <w:rsid w:val="00CF53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02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0B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0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869904D6DD0"/>
  <Relationship Id="rId11" Type="http://schemas.openxmlformats.org/officeDocument/2006/relationships/hyperlink" TargetMode="External" Target="https://www.e-tar.lt/portal/lt/legalAct/TAR.E5EAB0766CA3"/>
  <Relationship Id="rId12" Type="http://schemas.openxmlformats.org/officeDocument/2006/relationships/hyperlink" TargetMode="External" Target="https://www.e-tar.lt/portal/lt/legalAct/TAR.3383DAEA9386"/>
  <Relationship Id="rId13" Type="http://schemas.openxmlformats.org/officeDocument/2006/relationships/hyperlink" TargetMode="External" Target="https://www.e-tar.lt/portal/lt/legalAct/TAR.849E0FAFAB21"/>
  <Relationship Id="rId14" Type="http://schemas.openxmlformats.org/officeDocument/2006/relationships/hyperlink" TargetMode="External" Target="https://www.e-tar.lt/portal/lt/legalAct/TAR.067BAF0886DF"/>
  <Relationship Id="rId15" Type="http://schemas.openxmlformats.org/officeDocument/2006/relationships/hyperlink" TargetMode="External" Target="https://www.e-tar.lt/portal/lt/legalAct/TAR.8AE22F766805"/>
  <Relationship Id="rId16" Type="http://schemas.openxmlformats.org/officeDocument/2006/relationships/hyperlink" TargetMode="External" Target="https://www.e-tar.lt/portal/lt/legalAct/TAR.F4BAB142F366"/>
  <Relationship Id="rId17" Type="http://schemas.openxmlformats.org/officeDocument/2006/relationships/hyperlink" TargetMode="External" Target="https://www.e-tar.lt/portal/lt/legalAct/TAR.1AB34BDDD811"/>
  <Relationship Id="rId18" Type="http://schemas.openxmlformats.org/officeDocument/2006/relationships/hyperlink" TargetMode="External" Target="https://www.e-tar.lt/portal/lt/legalAct/TAR.FA7F1FD00FF5"/>
  <Relationship Id="rId19" Type="http://schemas.openxmlformats.org/officeDocument/2006/relationships/hyperlink" TargetMode="External" Target="https://www.e-tar.lt/portal/lt/legalAct/TAR.4DF139066FCE"/>
  <Relationship Id="rId2" Type="http://schemas.openxmlformats.org/officeDocument/2006/relationships/styles" Target="styles.xml"/>
  <Relationship Id="rId20" Type="http://schemas.openxmlformats.org/officeDocument/2006/relationships/hyperlink" TargetMode="External" Target="https://www.e-tar.lt/portal/lt/legalAct/TAR.EB554E4C6BFA"/>
  <Relationship Id="rId21" Type="http://schemas.openxmlformats.org/officeDocument/2006/relationships/hyperlink" TargetMode="External" Target="https://www.e-tar.lt/portal/lt/legalAct/TAR.E5D5DC3C496B"/>
  <Relationship Id="rId22" Type="http://schemas.openxmlformats.org/officeDocument/2006/relationships/hyperlink" TargetMode="External" Target="https://www.e-tar.lt/portal/lt/legalAct/TAR.EB554E4C6BFA"/>
  <Relationship Id="rId23" Type="http://schemas.openxmlformats.org/officeDocument/2006/relationships/image" Target="media/image2.png"/>
  <Relationship Id="rId24" Type="http://schemas.openxmlformats.org/officeDocument/2006/relationships/image" Target="media/image3.png"/>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3.xml"/>
  <Relationship Id="rId3" Type="http://schemas.microsoft.com/office/2007/relationships/stylesWithEffects" Target="stylesWithEffects.xml"/>
  <Relationship Id="rId30" Type="http://schemas.openxmlformats.org/officeDocument/2006/relationships/footer" Target="footer3.xml"/>
  <Relationship Id="rId31" Type="http://schemas.openxmlformats.org/officeDocument/2006/relationships/fontTable" Target="fontTable.xml"/>
  <Relationship Id="rId32" Type="http://schemas.openxmlformats.org/officeDocument/2006/relationships/glossaryDocument" Target="glossary/document.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BB"/>
    <w:rsid w:val="004B4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4B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4B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7375</Words>
  <Characters>4204</Characters>
  <Application>Microsoft Office Word</Application>
  <DocSecurity>0</DocSecurity>
  <Lines>35</Lines>
  <Paragraphs>23</Paragraphs>
  <ScaleCrop>false</ScaleCrop>
  <Company>Teisines informacijos centras</Company>
  <LinksUpToDate>false</LinksUpToDate>
  <CharactersWithSpaces>11556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2015-09-13T22:35:00Z</dcterms:created>
  <dc:creator>Sandra</dc:creator>
  <lastModifiedBy>TAMALIŪNIENĖ Vilija</lastModifiedBy>
  <dcterms:modified xsi:type="dcterms:W3CDTF">2016-09-08T12:08:00Z</dcterms:modified>
  <revision>3</revision>
  <dc:title>LIETUVOS AUTOMOBILIŲ KELIŲ DIREKCIJOS</dc:title>
</coreProperties>
</file>