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F3C9A" w14:textId="77777777" w:rsidR="00135995" w:rsidRDefault="00553C57">
      <w:pPr>
        <w:keepLines/>
        <w:widowControl w:val="0"/>
        <w:suppressAutoHyphens/>
        <w:jc w:val="center"/>
        <w:rPr>
          <w:color w:val="000000"/>
        </w:rPr>
      </w:pPr>
      <w:r>
        <w:rPr>
          <w:color w:val="000000"/>
          <w:lang w:val="en-US"/>
        </w:rPr>
        <w:pict w14:anchorId="358F3CD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SUSISIEKIMO MINISTRO</w:t>
      </w:r>
    </w:p>
    <w:p w14:paraId="358F3C9B" w14:textId="77777777" w:rsidR="00135995" w:rsidRDefault="00553C57">
      <w:pPr>
        <w:keepLines/>
        <w:widowControl w:val="0"/>
        <w:suppressAutoHyphens/>
        <w:jc w:val="center"/>
        <w:rPr>
          <w:color w:val="000000"/>
        </w:rPr>
      </w:pPr>
      <w:r>
        <w:rPr>
          <w:color w:val="000000"/>
        </w:rPr>
        <w:t>Į S A K Y M A S</w:t>
      </w:r>
    </w:p>
    <w:p w14:paraId="358F3C9C" w14:textId="77777777" w:rsidR="00135995" w:rsidRDefault="00135995">
      <w:pPr>
        <w:keepLines/>
        <w:widowControl w:val="0"/>
        <w:suppressAutoHyphens/>
        <w:jc w:val="center"/>
        <w:rPr>
          <w:color w:val="000000"/>
        </w:rPr>
      </w:pPr>
    </w:p>
    <w:p w14:paraId="358F3C9D" w14:textId="77777777" w:rsidR="00135995" w:rsidRDefault="00553C57">
      <w:pPr>
        <w:keepLines/>
        <w:widowControl w:val="0"/>
        <w:suppressAutoHyphens/>
        <w:jc w:val="center"/>
        <w:rPr>
          <w:b/>
          <w:bCs/>
          <w:caps/>
          <w:color w:val="000000"/>
        </w:rPr>
      </w:pPr>
      <w:r>
        <w:rPr>
          <w:b/>
          <w:bCs/>
          <w:caps/>
          <w:color w:val="000000"/>
        </w:rPr>
        <w:t>DĖL LIETUVOS RESPUBLIKOS SUSISIEKIMO MINISTRO 2007 M. KOVO 23 D. ĮSAKYMO NR. 3-97 „DĖL VINJEČIŲ FORMOS, JŲ REIKALAVIMŲ, ĮSIGIJIMO IR NAUDOJIMO TVARKOS APRAŠO PATV</w:t>
      </w:r>
      <w:r>
        <w:rPr>
          <w:b/>
          <w:bCs/>
          <w:caps/>
          <w:color w:val="000000"/>
        </w:rPr>
        <w:t>IRTINIMO“ PAKEITIMO</w:t>
      </w:r>
    </w:p>
    <w:p w14:paraId="358F3C9E" w14:textId="77777777" w:rsidR="00135995" w:rsidRDefault="00135995">
      <w:pPr>
        <w:widowControl w:val="0"/>
        <w:suppressAutoHyphens/>
        <w:jc w:val="center"/>
        <w:rPr>
          <w:color w:val="000000"/>
        </w:rPr>
      </w:pPr>
    </w:p>
    <w:p w14:paraId="358F3C9F" w14:textId="77777777" w:rsidR="00135995" w:rsidRDefault="00553C57">
      <w:pPr>
        <w:keepLines/>
        <w:widowControl w:val="0"/>
        <w:suppressAutoHyphens/>
        <w:jc w:val="center"/>
        <w:rPr>
          <w:color w:val="000000"/>
        </w:rPr>
      </w:pPr>
      <w:r>
        <w:rPr>
          <w:color w:val="000000"/>
        </w:rPr>
        <w:t>2011 m. vasario 24 d. Nr. 3-112</w:t>
      </w:r>
    </w:p>
    <w:p w14:paraId="358F3CA0" w14:textId="77777777" w:rsidR="00135995" w:rsidRDefault="00553C57">
      <w:pPr>
        <w:keepLines/>
        <w:widowControl w:val="0"/>
        <w:suppressAutoHyphens/>
        <w:jc w:val="center"/>
        <w:rPr>
          <w:color w:val="000000"/>
        </w:rPr>
      </w:pPr>
      <w:r>
        <w:rPr>
          <w:color w:val="000000"/>
        </w:rPr>
        <w:t>Vilnius</w:t>
      </w:r>
    </w:p>
    <w:p w14:paraId="358F3CA1" w14:textId="77777777" w:rsidR="00135995" w:rsidRDefault="00135995">
      <w:pPr>
        <w:widowControl w:val="0"/>
        <w:suppressAutoHyphens/>
        <w:ind w:firstLine="567"/>
        <w:jc w:val="both"/>
        <w:rPr>
          <w:color w:val="000000"/>
        </w:rPr>
      </w:pPr>
    </w:p>
    <w:p w14:paraId="358F3CA2" w14:textId="77777777" w:rsidR="00135995" w:rsidRDefault="00553C57">
      <w:pPr>
        <w:widowControl w:val="0"/>
        <w:suppressAutoHyphens/>
        <w:ind w:firstLine="567"/>
        <w:jc w:val="both"/>
        <w:rPr>
          <w:color w:val="000000"/>
        </w:rPr>
      </w:pPr>
      <w:r>
        <w:rPr>
          <w:color w:val="000000"/>
        </w:rPr>
        <w:t>P a k e i č i u Vinječių formos, jų reikalavimų, įsigijimo ir naudojimo tvarkos aprašą, patvirtintą Lietuvos Respublikos susisiekimo ministro 2007 m. kovo 23 d. įsakymu Nr. 3-97 „Dėl Vinječių fo</w:t>
      </w:r>
      <w:r>
        <w:rPr>
          <w:color w:val="000000"/>
        </w:rPr>
        <w:t xml:space="preserve">rmos, jų reikalavimų, įsigijimo ir naudojimo tvarkos aprašo patvirtinimo“ (Žin., 2007, Nr. </w:t>
      </w:r>
      <w:hyperlink r:id="rId10" w:tgtFrame="_blank" w:history="1">
        <w:r>
          <w:rPr>
            <w:color w:val="0000FF" w:themeColor="hyperlink"/>
            <w:u w:val="single"/>
          </w:rPr>
          <w:t>37-1382</w:t>
        </w:r>
      </w:hyperlink>
      <w:r>
        <w:rPr>
          <w:color w:val="000000"/>
        </w:rPr>
        <w:t xml:space="preserve">; 2008, Nr. </w:t>
      </w:r>
      <w:hyperlink r:id="rId11" w:tgtFrame="_blank" w:history="1">
        <w:r>
          <w:rPr>
            <w:color w:val="0000FF" w:themeColor="hyperlink"/>
            <w:u w:val="single"/>
          </w:rPr>
          <w:t>17-594</w:t>
        </w:r>
      </w:hyperlink>
      <w:r>
        <w:rPr>
          <w:color w:val="000000"/>
        </w:rPr>
        <w:t xml:space="preserve">; 2009, Nr. </w:t>
      </w:r>
      <w:hyperlink r:id="rId12" w:tgtFrame="_blank" w:history="1">
        <w:r>
          <w:rPr>
            <w:color w:val="0000FF" w:themeColor="hyperlink"/>
            <w:u w:val="single"/>
          </w:rPr>
          <w:t>72-2941</w:t>
        </w:r>
      </w:hyperlink>
      <w:r>
        <w:rPr>
          <w:color w:val="000000"/>
        </w:rPr>
        <w:t xml:space="preserve">; 2010, Nr. </w:t>
      </w:r>
      <w:hyperlink r:id="rId13" w:tgtFrame="_blank" w:history="1">
        <w:r>
          <w:rPr>
            <w:color w:val="0000FF" w:themeColor="hyperlink"/>
            <w:u w:val="single"/>
          </w:rPr>
          <w:t>4-178</w:t>
        </w:r>
      </w:hyperlink>
      <w:r>
        <w:rPr>
          <w:color w:val="000000"/>
        </w:rPr>
        <w:t>):</w:t>
      </w:r>
    </w:p>
    <w:p w14:paraId="358F3CA3" w14:textId="77777777" w:rsidR="00135995" w:rsidRDefault="00553C57">
      <w:pPr>
        <w:widowControl w:val="0"/>
        <w:suppressAutoHyphens/>
        <w:ind w:firstLine="567"/>
        <w:jc w:val="both"/>
        <w:rPr>
          <w:color w:val="000000"/>
        </w:rPr>
      </w:pPr>
      <w:r>
        <w:rPr>
          <w:color w:val="000000"/>
        </w:rPr>
        <w:t>1</w:t>
      </w:r>
      <w:r>
        <w:rPr>
          <w:color w:val="000000"/>
        </w:rPr>
        <w:t>. Išdėstau 6 punktą taip:</w:t>
      </w:r>
    </w:p>
    <w:p w14:paraId="358F3CA4" w14:textId="77777777" w:rsidR="00135995" w:rsidRDefault="00553C57">
      <w:pPr>
        <w:widowControl w:val="0"/>
        <w:suppressAutoHyphens/>
        <w:ind w:firstLine="567"/>
        <w:jc w:val="both"/>
        <w:rPr>
          <w:color w:val="000000"/>
        </w:rPr>
      </w:pPr>
      <w:r>
        <w:rPr>
          <w:color w:val="000000"/>
        </w:rPr>
        <w:t>„</w:t>
      </w:r>
      <w:r>
        <w:rPr>
          <w:color w:val="000000"/>
        </w:rPr>
        <w:t>6</w:t>
      </w:r>
      <w:r>
        <w:rPr>
          <w:color w:val="000000"/>
        </w:rPr>
        <w:t>. Tran</w:t>
      </w:r>
      <w:r>
        <w:rPr>
          <w:color w:val="000000"/>
        </w:rPr>
        <w:t xml:space="preserve">sporto priemonių savininkai ar valdytojai (vairuotojai), prieš įvažiuodami į apmokestintus magistralinius kelius, privalo priklijuoti galiojančios vinjetės pagrindinę dalį prie transporto priemonės priekinio stiklo. Tais atvejais, kai įvažiavus į Lietuvos </w:t>
      </w:r>
      <w:r>
        <w:rPr>
          <w:color w:val="000000"/>
        </w:rPr>
        <w:t>valstybės teritoriją arba išvykstant iš krovinių krovos ar fizinio ar juridinio asmens buveinės (nuolatinės transporto priemonės stovėjimo) vietos nėra degalinės ar kitos vietos, kurioje galima sumokėti naudotojo mokestį bei įsigyti vinjetę(-es), transport</w:t>
      </w:r>
      <w:r>
        <w:rPr>
          <w:color w:val="000000"/>
        </w:rPr>
        <w:t xml:space="preserve">o priemonių savininkai ar valdytojai (vairuotojai) tai padaryti privalo artimiausioje degalinėje ar kitoje vietoje, kurioje platinamos vinjetės, vykstant pasirinktu maršrutu. Pasibaigus vinjetės galiojimo laikui, vinjetės pagrindinė dalis turi būti nuimta </w:t>
      </w:r>
      <w:r>
        <w:rPr>
          <w:color w:val="000000"/>
        </w:rPr>
        <w:t>nuo priekinio stiklo.“</w:t>
      </w:r>
    </w:p>
    <w:p w14:paraId="358F3CA5" w14:textId="77777777" w:rsidR="00135995" w:rsidRDefault="00553C57">
      <w:pPr>
        <w:widowControl w:val="0"/>
        <w:suppressAutoHyphens/>
        <w:ind w:firstLine="567"/>
        <w:jc w:val="both"/>
        <w:rPr>
          <w:color w:val="000000"/>
        </w:rPr>
      </w:pPr>
      <w:r>
        <w:rPr>
          <w:color w:val="000000"/>
        </w:rPr>
        <w:t>2</w:t>
      </w:r>
      <w:r>
        <w:rPr>
          <w:color w:val="000000"/>
        </w:rPr>
        <w:t>. Išdėstau 7 punktą taip:</w:t>
      </w:r>
    </w:p>
    <w:p w14:paraId="358F3CA6" w14:textId="77777777" w:rsidR="00135995" w:rsidRDefault="00553C57">
      <w:pPr>
        <w:widowControl w:val="0"/>
        <w:suppressAutoHyphens/>
        <w:ind w:firstLine="567"/>
        <w:jc w:val="both"/>
        <w:rPr>
          <w:color w:val="000000"/>
        </w:rPr>
      </w:pPr>
      <w:r>
        <w:rPr>
          <w:color w:val="000000"/>
        </w:rPr>
        <w:t>„</w:t>
      </w:r>
      <w:r>
        <w:rPr>
          <w:color w:val="000000"/>
        </w:rPr>
        <w:t>7</w:t>
      </w:r>
      <w:r>
        <w:rPr>
          <w:color w:val="000000"/>
        </w:rPr>
        <w:t>. Transporto priemonių savininkai ar valdytojai (vairuotojai), įsigiję pažymėtą vinjetę bei ją užpildę ir pagrindinę vinjetės dalį priklijavę prie transporto priemonės priekinio stiklo, kaip rei</w:t>
      </w:r>
      <w:r>
        <w:rPr>
          <w:color w:val="000000"/>
        </w:rPr>
        <w:t>kalaujama naudojimosi instrukcijoje, turi teisę važiuoti šiais magistraliniais keliais:</w:t>
      </w:r>
    </w:p>
    <w:p w14:paraId="358F3CA7" w14:textId="77777777" w:rsidR="00135995" w:rsidRDefault="00553C57">
      <w:pPr>
        <w:widowControl w:val="0"/>
        <w:suppressAutoHyphens/>
        <w:ind w:firstLine="567"/>
        <w:jc w:val="both"/>
        <w:rPr>
          <w:color w:val="000000"/>
        </w:rPr>
      </w:pPr>
      <w:r>
        <w:rPr>
          <w:color w:val="000000"/>
        </w:rPr>
        <w:t>A1 Vilnius–Kaunas–Klaipėda (10–304,5 km);</w:t>
      </w:r>
    </w:p>
    <w:p w14:paraId="358F3CA8" w14:textId="77777777" w:rsidR="00135995" w:rsidRDefault="00553C57">
      <w:pPr>
        <w:widowControl w:val="0"/>
        <w:suppressAutoHyphens/>
        <w:ind w:firstLine="567"/>
        <w:jc w:val="both"/>
        <w:rPr>
          <w:color w:val="000000"/>
        </w:rPr>
      </w:pPr>
      <w:r>
        <w:rPr>
          <w:color w:val="000000"/>
        </w:rPr>
        <w:t>A2 Vilnius–Panevėžys (12–132,7 km);</w:t>
      </w:r>
    </w:p>
    <w:p w14:paraId="358F3CA9" w14:textId="77777777" w:rsidR="00135995" w:rsidRDefault="00553C57">
      <w:pPr>
        <w:widowControl w:val="0"/>
        <w:suppressAutoHyphens/>
        <w:ind w:firstLine="567"/>
        <w:jc w:val="both"/>
        <w:rPr>
          <w:color w:val="000000"/>
        </w:rPr>
      </w:pPr>
      <w:r>
        <w:rPr>
          <w:color w:val="000000"/>
        </w:rPr>
        <w:t>A3 Vilnius–Minskas (6,65–33,99 km);</w:t>
      </w:r>
    </w:p>
    <w:p w14:paraId="358F3CAA" w14:textId="77777777" w:rsidR="00135995" w:rsidRDefault="00553C57">
      <w:pPr>
        <w:widowControl w:val="0"/>
        <w:suppressAutoHyphens/>
        <w:ind w:firstLine="567"/>
        <w:jc w:val="both"/>
        <w:rPr>
          <w:color w:val="000000"/>
        </w:rPr>
      </w:pPr>
      <w:r>
        <w:rPr>
          <w:color w:val="000000"/>
        </w:rPr>
        <w:t>A4 Vilnius–Varėna–Gardinas (15,51–134,46 km);</w:t>
      </w:r>
    </w:p>
    <w:p w14:paraId="358F3CAB" w14:textId="77777777" w:rsidR="00135995" w:rsidRDefault="00553C57">
      <w:pPr>
        <w:widowControl w:val="0"/>
        <w:suppressAutoHyphens/>
        <w:ind w:firstLine="567"/>
        <w:jc w:val="both"/>
        <w:rPr>
          <w:color w:val="000000"/>
        </w:rPr>
      </w:pPr>
      <w:r>
        <w:rPr>
          <w:color w:val="000000"/>
        </w:rPr>
        <w:t>A5 Kauna</w:t>
      </w:r>
      <w:r>
        <w:rPr>
          <w:color w:val="000000"/>
        </w:rPr>
        <w:t>s–Marijampolė–Suvalkai (0–97,06 km);</w:t>
      </w:r>
    </w:p>
    <w:p w14:paraId="358F3CAC" w14:textId="77777777" w:rsidR="00135995" w:rsidRDefault="00553C57">
      <w:pPr>
        <w:widowControl w:val="0"/>
        <w:suppressAutoHyphens/>
        <w:ind w:firstLine="567"/>
        <w:jc w:val="both"/>
        <w:rPr>
          <w:color w:val="000000"/>
        </w:rPr>
      </w:pPr>
      <w:r>
        <w:rPr>
          <w:color w:val="000000"/>
        </w:rPr>
        <w:t>A6 Kaunas–Zarasai–Daugpilis (5,96–185,4 km);</w:t>
      </w:r>
    </w:p>
    <w:p w14:paraId="358F3CAD" w14:textId="77777777" w:rsidR="00135995" w:rsidRDefault="00553C57">
      <w:pPr>
        <w:widowControl w:val="0"/>
        <w:suppressAutoHyphens/>
        <w:ind w:firstLine="567"/>
        <w:jc w:val="both"/>
        <w:rPr>
          <w:color w:val="000000"/>
        </w:rPr>
      </w:pPr>
      <w:r>
        <w:rPr>
          <w:color w:val="000000"/>
        </w:rPr>
        <w:t>A7 Marijampolė–Kybartai–Kaliningradas (2–42,21 km);</w:t>
      </w:r>
    </w:p>
    <w:p w14:paraId="358F3CAE" w14:textId="77777777" w:rsidR="00135995" w:rsidRDefault="00553C57">
      <w:pPr>
        <w:widowControl w:val="0"/>
        <w:suppressAutoHyphens/>
        <w:ind w:firstLine="567"/>
        <w:jc w:val="both"/>
        <w:rPr>
          <w:color w:val="000000"/>
        </w:rPr>
      </w:pPr>
      <w:r>
        <w:rPr>
          <w:color w:val="000000"/>
        </w:rPr>
        <w:t>A8 Panevėžys–Aristava–Sitkūnai (7,5–87,86 km);</w:t>
      </w:r>
    </w:p>
    <w:p w14:paraId="358F3CAF" w14:textId="77777777" w:rsidR="00135995" w:rsidRDefault="00553C57">
      <w:pPr>
        <w:widowControl w:val="0"/>
        <w:suppressAutoHyphens/>
        <w:ind w:firstLine="567"/>
        <w:jc w:val="both"/>
        <w:rPr>
          <w:color w:val="000000"/>
        </w:rPr>
      </w:pPr>
      <w:r>
        <w:rPr>
          <w:color w:val="000000"/>
        </w:rPr>
        <w:t>A9 Panevėžys–Šiauliai (5–75,7 km);</w:t>
      </w:r>
    </w:p>
    <w:p w14:paraId="358F3CB0" w14:textId="77777777" w:rsidR="00135995" w:rsidRDefault="00553C57">
      <w:pPr>
        <w:widowControl w:val="0"/>
        <w:suppressAutoHyphens/>
        <w:ind w:firstLine="567"/>
        <w:jc w:val="both"/>
        <w:rPr>
          <w:color w:val="000000"/>
        </w:rPr>
      </w:pPr>
      <w:r>
        <w:rPr>
          <w:color w:val="000000"/>
        </w:rPr>
        <w:t xml:space="preserve">A10 Panevėžys–Pasvalys–Ryga (4,57–66,10 </w:t>
      </w:r>
      <w:r>
        <w:rPr>
          <w:color w:val="000000"/>
        </w:rPr>
        <w:t>km);</w:t>
      </w:r>
    </w:p>
    <w:p w14:paraId="358F3CB1" w14:textId="77777777" w:rsidR="00135995" w:rsidRDefault="00553C57">
      <w:pPr>
        <w:widowControl w:val="0"/>
        <w:suppressAutoHyphens/>
        <w:ind w:firstLine="567"/>
        <w:jc w:val="both"/>
        <w:rPr>
          <w:color w:val="000000"/>
        </w:rPr>
      </w:pPr>
      <w:r>
        <w:rPr>
          <w:color w:val="000000"/>
        </w:rPr>
        <w:t>A11 Šiauliai–Palanga (2,65–146,41 km);</w:t>
      </w:r>
    </w:p>
    <w:p w14:paraId="358F3CB2" w14:textId="77777777" w:rsidR="00135995" w:rsidRDefault="00553C57">
      <w:pPr>
        <w:widowControl w:val="0"/>
        <w:suppressAutoHyphens/>
        <w:ind w:firstLine="567"/>
        <w:jc w:val="both"/>
        <w:rPr>
          <w:color w:val="000000"/>
        </w:rPr>
      </w:pPr>
      <w:r>
        <w:rPr>
          <w:color w:val="000000"/>
        </w:rPr>
        <w:t>A12 Ryga–Šiauliai–Tauragė–Kaliningradas (0–49,7 km; 59,43–186,09 km);</w:t>
      </w:r>
    </w:p>
    <w:p w14:paraId="358F3CB3" w14:textId="77777777" w:rsidR="00135995" w:rsidRDefault="00553C57">
      <w:pPr>
        <w:widowControl w:val="0"/>
        <w:suppressAutoHyphens/>
        <w:ind w:firstLine="567"/>
        <w:jc w:val="both"/>
        <w:rPr>
          <w:color w:val="000000"/>
        </w:rPr>
      </w:pPr>
      <w:r>
        <w:rPr>
          <w:color w:val="000000"/>
        </w:rPr>
        <w:t>A13 Klaipėda–Liepoja (11,3–24,77 km; 26–45,15 km);</w:t>
      </w:r>
    </w:p>
    <w:p w14:paraId="358F3CB4" w14:textId="77777777" w:rsidR="00135995" w:rsidRDefault="00553C57">
      <w:pPr>
        <w:widowControl w:val="0"/>
        <w:suppressAutoHyphens/>
        <w:ind w:firstLine="567"/>
        <w:jc w:val="both"/>
        <w:rPr>
          <w:color w:val="000000"/>
        </w:rPr>
      </w:pPr>
      <w:r>
        <w:rPr>
          <w:color w:val="000000"/>
        </w:rPr>
        <w:t>A14 Vilnius–Utena (10,66–95,6 km);</w:t>
      </w:r>
    </w:p>
    <w:p w14:paraId="358F3CB5" w14:textId="77777777" w:rsidR="00135995" w:rsidRDefault="00553C57">
      <w:pPr>
        <w:widowControl w:val="0"/>
        <w:suppressAutoHyphens/>
        <w:ind w:firstLine="567"/>
        <w:jc w:val="both"/>
        <w:rPr>
          <w:color w:val="000000"/>
        </w:rPr>
      </w:pPr>
      <w:r>
        <w:rPr>
          <w:color w:val="000000"/>
        </w:rPr>
        <w:t>A15 Vilnius–Lyda (10,66–49,28 km);</w:t>
      </w:r>
    </w:p>
    <w:p w14:paraId="358F3CB6" w14:textId="77777777" w:rsidR="00135995" w:rsidRDefault="00553C57">
      <w:pPr>
        <w:widowControl w:val="0"/>
        <w:suppressAutoHyphens/>
        <w:ind w:firstLine="567"/>
        <w:jc w:val="both"/>
        <w:rPr>
          <w:color w:val="000000"/>
        </w:rPr>
      </w:pPr>
      <w:r>
        <w:rPr>
          <w:color w:val="000000"/>
        </w:rPr>
        <w:t xml:space="preserve">A16 </w:t>
      </w:r>
      <w:r>
        <w:rPr>
          <w:color w:val="000000"/>
        </w:rPr>
        <w:t>Vilnius–Prienai–Marijampolė (15,55–135,48 km);</w:t>
      </w:r>
    </w:p>
    <w:p w14:paraId="358F3CB7" w14:textId="77777777" w:rsidR="00135995" w:rsidRDefault="00553C57">
      <w:pPr>
        <w:widowControl w:val="0"/>
        <w:suppressAutoHyphens/>
        <w:ind w:firstLine="567"/>
        <w:jc w:val="both"/>
        <w:rPr>
          <w:color w:val="000000"/>
        </w:rPr>
      </w:pPr>
      <w:r>
        <w:rPr>
          <w:color w:val="000000"/>
        </w:rPr>
        <w:t>A17 Panevėžio aplinkkelis (0–22,28 km);</w:t>
      </w:r>
    </w:p>
    <w:p w14:paraId="358F3CB8" w14:textId="77777777" w:rsidR="00135995" w:rsidRDefault="00553C57">
      <w:pPr>
        <w:widowControl w:val="0"/>
        <w:suppressAutoHyphens/>
        <w:ind w:firstLine="567"/>
        <w:jc w:val="both"/>
        <w:rPr>
          <w:color w:val="000000"/>
        </w:rPr>
      </w:pPr>
      <w:r>
        <w:rPr>
          <w:color w:val="000000"/>
        </w:rPr>
        <w:t>A18 Šiaulių aplinkkelis (0–17,08 km).“</w:t>
      </w:r>
    </w:p>
    <w:p w14:paraId="358F3CB9" w14:textId="77777777" w:rsidR="00135995" w:rsidRDefault="00553C57">
      <w:pPr>
        <w:widowControl w:val="0"/>
        <w:suppressAutoHyphens/>
        <w:ind w:firstLine="567"/>
        <w:jc w:val="both"/>
        <w:rPr>
          <w:color w:val="000000"/>
        </w:rPr>
      </w:pPr>
      <w:r>
        <w:rPr>
          <w:color w:val="000000"/>
        </w:rPr>
        <w:t>3</w:t>
      </w:r>
      <w:r>
        <w:rPr>
          <w:color w:val="000000"/>
        </w:rPr>
        <w:t>. Išdėstau 8 punktą taip:</w:t>
      </w:r>
    </w:p>
    <w:p w14:paraId="358F3CBA" w14:textId="77777777" w:rsidR="00135995" w:rsidRDefault="00553C57">
      <w:pPr>
        <w:widowControl w:val="0"/>
        <w:suppressAutoHyphens/>
        <w:ind w:firstLine="567"/>
        <w:jc w:val="both"/>
        <w:rPr>
          <w:color w:val="000000"/>
        </w:rPr>
      </w:pPr>
      <w:r>
        <w:rPr>
          <w:color w:val="000000"/>
        </w:rPr>
        <w:t>„</w:t>
      </w:r>
      <w:r>
        <w:rPr>
          <w:color w:val="000000"/>
        </w:rPr>
        <w:t>8</w:t>
      </w:r>
      <w:r>
        <w:rPr>
          <w:color w:val="000000"/>
        </w:rPr>
        <w:t>. Naudotojo mokestis netaikomas, jei mokama kelio dalis naudojama kaip apylanka, kuri pažym</w:t>
      </w:r>
      <w:r>
        <w:rPr>
          <w:color w:val="000000"/>
        </w:rPr>
        <w:t>ėta specialiais ženklais, taip pat kertant mokamą kelią, žiedinėse sankryžose, taip pat žemės ūkio veiklos subjektams, kurie užsiima žemdirbyste ir kurių metinės pajamos iš žemės ūkio veiklos sudaro daugiau kaip 50 procentų visų gautų pajamų, kai jie važiu</w:t>
      </w:r>
      <w:r>
        <w:rPr>
          <w:color w:val="000000"/>
        </w:rPr>
        <w:t xml:space="preserve">oja iki savo dirbamo žemės lauko ir grįžta iš jo. Jeigu dėl nustatytos eismo tvarkos (kelio atitvarų, </w:t>
      </w:r>
      <w:r>
        <w:rPr>
          <w:color w:val="000000"/>
        </w:rPr>
        <w:lastRenderedPageBreak/>
        <w:t>skiriamosios juostos ar kt.) nėra galimybės kirsti mokamo kelio stačiu kampu kelių sankryžoje arba atlikti posūkio iš vieno nemokamo kelio į kitą nemokamą</w:t>
      </w:r>
      <w:r>
        <w:rPr>
          <w:color w:val="000000"/>
        </w:rPr>
        <w:t xml:space="preserve"> kelią ir taip priverstinai įvažiuojama į mokamą kelią, važiuoti mokama kelio dalimi nesumokėjus naudotojo mokesčio leidžiama iki artimiausios apsisukimo vietos.“</w:t>
      </w:r>
    </w:p>
    <w:p w14:paraId="358F3CBB" w14:textId="11C6F7AB" w:rsidR="00135995" w:rsidRDefault="00553C57">
      <w:pPr>
        <w:widowControl w:val="0"/>
        <w:suppressAutoHyphens/>
        <w:ind w:firstLine="567"/>
        <w:jc w:val="both"/>
        <w:rPr>
          <w:color w:val="000000"/>
        </w:rPr>
      </w:pPr>
      <w:r>
        <w:rPr>
          <w:color w:val="000000"/>
        </w:rPr>
        <w:t>4</w:t>
      </w:r>
      <w:r>
        <w:rPr>
          <w:color w:val="000000"/>
        </w:rPr>
        <w:t>. Išdėstau 13.2.3 punktą taip:</w:t>
      </w:r>
    </w:p>
    <w:p w14:paraId="358F3CBC" w14:textId="36A02387" w:rsidR="00135995" w:rsidRDefault="00553C57">
      <w:pPr>
        <w:widowControl w:val="0"/>
        <w:suppressAutoHyphens/>
        <w:ind w:firstLine="567"/>
        <w:jc w:val="both"/>
        <w:rPr>
          <w:color w:val="000000"/>
        </w:rPr>
      </w:pPr>
      <w:r>
        <w:rPr>
          <w:color w:val="000000"/>
        </w:rPr>
        <w:t>„</w:t>
      </w:r>
      <w:r>
        <w:rPr>
          <w:color w:val="000000"/>
        </w:rPr>
        <w:t>13.2.3</w:t>
      </w:r>
      <w:r>
        <w:rPr>
          <w:color w:val="000000"/>
        </w:rPr>
        <w:t>. dokumentą iš nepriklausomų ekspertų ar dra</w:t>
      </w:r>
      <w:r>
        <w:rPr>
          <w:color w:val="000000"/>
        </w:rPr>
        <w:t>udimo bendrovės dėl transporto priemonės pripažinimo netinkama naudoti arba įmonės ilgalaikio turto nurašymo aktą, arba eksploatuoti netinkamos transporto priemonės sunaikinimo pažymą;“.</w:t>
      </w:r>
    </w:p>
    <w:bookmarkStart w:id="0" w:name="_GoBack" w:displacedByCustomXml="prev"/>
    <w:p w14:paraId="358F3CBD" w14:textId="3E45271F" w:rsidR="00135995" w:rsidRDefault="00135995">
      <w:pPr>
        <w:widowControl w:val="0"/>
        <w:suppressAutoHyphens/>
        <w:ind w:firstLine="567"/>
        <w:jc w:val="both"/>
        <w:rPr>
          <w:color w:val="000000"/>
        </w:rPr>
      </w:pPr>
    </w:p>
    <w:p w14:paraId="358F3CBE" w14:textId="18610B04" w:rsidR="00135995" w:rsidRDefault="00135995">
      <w:pPr>
        <w:widowControl w:val="0"/>
        <w:suppressAutoHyphens/>
        <w:ind w:firstLine="567"/>
        <w:jc w:val="both"/>
        <w:rPr>
          <w:color w:val="000000"/>
        </w:rPr>
      </w:pPr>
    </w:p>
    <w:p w14:paraId="358F3CBF" w14:textId="0897E77A" w:rsidR="00135995" w:rsidRDefault="00553C57">
      <w:pPr>
        <w:widowControl w:val="0"/>
        <w:tabs>
          <w:tab w:val="right" w:pos="9071"/>
        </w:tabs>
        <w:suppressAutoHyphens/>
        <w:rPr>
          <w:caps/>
          <w:color w:val="000000"/>
        </w:rPr>
      </w:pPr>
      <w:r>
        <w:rPr>
          <w:caps/>
          <w:color w:val="000000"/>
        </w:rPr>
        <w:t>Susisiekimo ministras</w:t>
      </w:r>
      <w:r>
        <w:rPr>
          <w:caps/>
          <w:color w:val="000000"/>
        </w:rPr>
        <w:tab/>
        <w:t>Eligijus Masiulis</w:t>
      </w:r>
    </w:p>
    <w:p w14:paraId="358F3CC0" w14:textId="49EA1190" w:rsidR="00135995" w:rsidRDefault="00135995">
      <w:pPr>
        <w:widowControl w:val="0"/>
        <w:suppressAutoHyphens/>
        <w:ind w:firstLine="567"/>
        <w:jc w:val="both"/>
        <w:rPr>
          <w:color w:val="000000"/>
        </w:rPr>
      </w:pPr>
    </w:p>
    <w:tbl>
      <w:tblPr>
        <w:tblW w:w="9070" w:type="dxa"/>
        <w:tblLook w:val="01E0" w:firstRow="1" w:lastRow="1" w:firstColumn="1" w:lastColumn="1" w:noHBand="0" w:noVBand="0"/>
      </w:tblPr>
      <w:tblGrid>
        <w:gridCol w:w="4548"/>
        <w:gridCol w:w="4522"/>
      </w:tblGrid>
      <w:tr w:rsidR="00135995" w14:paraId="358F3CC3" w14:textId="77777777">
        <w:tc>
          <w:tcPr>
            <w:tcW w:w="4548" w:type="dxa"/>
          </w:tcPr>
          <w:p w14:paraId="358F3CC1" w14:textId="00C6FE4D" w:rsidR="00135995" w:rsidRDefault="00553C57">
            <w:pPr>
              <w:widowControl w:val="0"/>
              <w:suppressAutoHyphens/>
              <w:rPr>
                <w:color w:val="000000"/>
              </w:rPr>
            </w:pPr>
            <w:r>
              <w:rPr>
                <w:color w:val="000000"/>
              </w:rPr>
              <w:t xml:space="preserve">SUDERINTA </w:t>
            </w:r>
          </w:p>
        </w:tc>
        <w:tc>
          <w:tcPr>
            <w:tcW w:w="4522" w:type="dxa"/>
          </w:tcPr>
          <w:p w14:paraId="358F3CC2" w14:textId="77777777" w:rsidR="00135995" w:rsidRDefault="00553C57">
            <w:pPr>
              <w:widowControl w:val="0"/>
              <w:suppressAutoHyphens/>
              <w:rPr>
                <w:color w:val="000000"/>
              </w:rPr>
            </w:pPr>
            <w:r>
              <w:rPr>
                <w:color w:val="000000"/>
              </w:rPr>
              <w:t>SUDERINTA</w:t>
            </w:r>
          </w:p>
        </w:tc>
      </w:tr>
      <w:tr w:rsidR="00135995" w14:paraId="358F3CC6" w14:textId="77777777">
        <w:tc>
          <w:tcPr>
            <w:tcW w:w="4548" w:type="dxa"/>
          </w:tcPr>
          <w:p w14:paraId="358F3CC4" w14:textId="77777777" w:rsidR="00135995" w:rsidRDefault="00553C57">
            <w:pPr>
              <w:widowControl w:val="0"/>
              <w:suppressAutoHyphens/>
              <w:rPr>
                <w:color w:val="000000"/>
              </w:rPr>
            </w:pPr>
            <w:r>
              <w:rPr>
                <w:color w:val="000000"/>
              </w:rPr>
              <w:t xml:space="preserve">Muitinės departamento prie </w:t>
            </w:r>
          </w:p>
        </w:tc>
        <w:tc>
          <w:tcPr>
            <w:tcW w:w="4522" w:type="dxa"/>
          </w:tcPr>
          <w:p w14:paraId="358F3CC5" w14:textId="77777777" w:rsidR="00135995" w:rsidRDefault="00553C57">
            <w:pPr>
              <w:widowControl w:val="0"/>
              <w:suppressAutoHyphens/>
              <w:rPr>
                <w:color w:val="000000"/>
              </w:rPr>
            </w:pPr>
            <w:r>
              <w:rPr>
                <w:color w:val="000000"/>
              </w:rPr>
              <w:t>Valstybinės kelių transporto inspekcijos</w:t>
            </w:r>
          </w:p>
        </w:tc>
      </w:tr>
      <w:tr w:rsidR="00135995" w14:paraId="358F3CCB" w14:textId="77777777">
        <w:tc>
          <w:tcPr>
            <w:tcW w:w="4548" w:type="dxa"/>
          </w:tcPr>
          <w:p w14:paraId="358F3CC7" w14:textId="77777777" w:rsidR="00135995" w:rsidRDefault="00553C57">
            <w:pPr>
              <w:widowControl w:val="0"/>
              <w:suppressAutoHyphens/>
              <w:rPr>
                <w:color w:val="000000"/>
              </w:rPr>
            </w:pPr>
            <w:r>
              <w:rPr>
                <w:color w:val="000000"/>
              </w:rPr>
              <w:t xml:space="preserve">Finansų ministerijos </w:t>
            </w:r>
          </w:p>
          <w:p w14:paraId="358F3CC8" w14:textId="77777777" w:rsidR="00135995" w:rsidRDefault="00553C57">
            <w:pPr>
              <w:widowControl w:val="0"/>
              <w:suppressAutoHyphens/>
              <w:rPr>
                <w:color w:val="000000"/>
              </w:rPr>
            </w:pPr>
            <w:r>
              <w:rPr>
                <w:color w:val="000000"/>
              </w:rPr>
              <w:t xml:space="preserve">generalinis direktorius </w:t>
            </w:r>
          </w:p>
        </w:tc>
        <w:tc>
          <w:tcPr>
            <w:tcW w:w="4522" w:type="dxa"/>
          </w:tcPr>
          <w:p w14:paraId="358F3CC9" w14:textId="77777777" w:rsidR="00135995" w:rsidRDefault="00553C57">
            <w:pPr>
              <w:widowControl w:val="0"/>
              <w:suppressAutoHyphens/>
              <w:rPr>
                <w:color w:val="000000"/>
              </w:rPr>
            </w:pPr>
            <w:r>
              <w:rPr>
                <w:color w:val="000000"/>
              </w:rPr>
              <w:t xml:space="preserve">prie Susisiekimo ministerijos </w:t>
            </w:r>
          </w:p>
          <w:p w14:paraId="358F3CCA" w14:textId="77777777" w:rsidR="00135995" w:rsidRDefault="00553C57">
            <w:pPr>
              <w:widowControl w:val="0"/>
              <w:suppressAutoHyphens/>
              <w:rPr>
                <w:color w:val="000000"/>
              </w:rPr>
            </w:pPr>
            <w:r>
              <w:rPr>
                <w:color w:val="000000"/>
              </w:rPr>
              <w:t>viršininkas</w:t>
            </w:r>
          </w:p>
        </w:tc>
      </w:tr>
      <w:tr w:rsidR="00135995" w14:paraId="358F3CCE" w14:textId="77777777">
        <w:tc>
          <w:tcPr>
            <w:tcW w:w="4548" w:type="dxa"/>
          </w:tcPr>
          <w:p w14:paraId="358F3CCC" w14:textId="77777777" w:rsidR="00135995" w:rsidRDefault="00553C57">
            <w:pPr>
              <w:widowControl w:val="0"/>
              <w:suppressAutoHyphens/>
              <w:rPr>
                <w:color w:val="000000"/>
              </w:rPr>
            </w:pPr>
            <w:r>
              <w:rPr>
                <w:color w:val="000000"/>
              </w:rPr>
              <w:t xml:space="preserve">Antanas Šipavičius </w:t>
            </w:r>
          </w:p>
        </w:tc>
        <w:tc>
          <w:tcPr>
            <w:tcW w:w="4522" w:type="dxa"/>
          </w:tcPr>
          <w:p w14:paraId="358F3CCD" w14:textId="77777777" w:rsidR="00135995" w:rsidRDefault="00553C57">
            <w:pPr>
              <w:widowControl w:val="0"/>
              <w:suppressAutoHyphens/>
              <w:rPr>
                <w:color w:val="000000"/>
              </w:rPr>
            </w:pPr>
            <w:r>
              <w:rPr>
                <w:color w:val="000000"/>
              </w:rPr>
              <w:t>Vidmantas Žukauskas</w:t>
            </w:r>
          </w:p>
        </w:tc>
      </w:tr>
      <w:tr w:rsidR="00135995" w14:paraId="358F3CD1" w14:textId="77777777">
        <w:tc>
          <w:tcPr>
            <w:tcW w:w="4548" w:type="dxa"/>
          </w:tcPr>
          <w:p w14:paraId="358F3CCF" w14:textId="77777777" w:rsidR="00135995" w:rsidRDefault="00553C57">
            <w:pPr>
              <w:widowControl w:val="0"/>
              <w:suppressAutoHyphens/>
              <w:rPr>
                <w:color w:val="000000"/>
              </w:rPr>
            </w:pPr>
            <w:r>
              <w:rPr>
                <w:color w:val="000000"/>
              </w:rPr>
              <w:t xml:space="preserve">2011 m. vasario 15 d. </w:t>
            </w:r>
          </w:p>
        </w:tc>
        <w:tc>
          <w:tcPr>
            <w:tcW w:w="4522" w:type="dxa"/>
          </w:tcPr>
          <w:p w14:paraId="358F3CD0" w14:textId="77777777" w:rsidR="00135995" w:rsidRDefault="00553C57">
            <w:pPr>
              <w:widowControl w:val="0"/>
              <w:suppressAutoHyphens/>
              <w:rPr>
                <w:color w:val="000000"/>
              </w:rPr>
            </w:pPr>
            <w:r>
              <w:rPr>
                <w:color w:val="000000"/>
              </w:rPr>
              <w:t>2011 m. vasario 24 d.</w:t>
            </w:r>
          </w:p>
        </w:tc>
      </w:tr>
    </w:tbl>
    <w:p w14:paraId="358F3CD2" w14:textId="73FA631B" w:rsidR="00135995" w:rsidRDefault="00135995">
      <w:pPr>
        <w:widowControl w:val="0"/>
        <w:suppressAutoHyphens/>
        <w:jc w:val="both"/>
        <w:rPr>
          <w:color w:val="000000"/>
        </w:rPr>
      </w:pPr>
    </w:p>
    <w:p w14:paraId="358F3CD3" w14:textId="0E4FDDC0" w:rsidR="00135995" w:rsidRDefault="00553C57">
      <w:pPr>
        <w:widowControl w:val="0"/>
        <w:suppressAutoHyphens/>
        <w:jc w:val="both"/>
        <w:rPr>
          <w:color w:val="000000"/>
        </w:rPr>
      </w:pPr>
      <w:r>
        <w:rPr>
          <w:color w:val="000000"/>
        </w:rPr>
        <w:t>SUDERINTA</w:t>
      </w:r>
    </w:p>
    <w:p w14:paraId="358F3CD4" w14:textId="77777777" w:rsidR="00135995" w:rsidRDefault="00553C57">
      <w:pPr>
        <w:widowControl w:val="0"/>
        <w:suppressAutoHyphens/>
        <w:jc w:val="both"/>
        <w:rPr>
          <w:color w:val="000000"/>
        </w:rPr>
      </w:pPr>
      <w:r>
        <w:rPr>
          <w:color w:val="000000"/>
        </w:rPr>
        <w:t>Lietuvos policijos generalinis komisaras</w:t>
      </w:r>
    </w:p>
    <w:p w14:paraId="358F3CD5" w14:textId="77777777" w:rsidR="00135995" w:rsidRDefault="00553C57">
      <w:pPr>
        <w:widowControl w:val="0"/>
        <w:suppressAutoHyphens/>
        <w:jc w:val="both"/>
        <w:rPr>
          <w:color w:val="000000"/>
        </w:rPr>
      </w:pPr>
      <w:r>
        <w:rPr>
          <w:color w:val="000000"/>
        </w:rPr>
        <w:t>Vizgirdas Telyčėnas</w:t>
      </w:r>
    </w:p>
    <w:p w14:paraId="358F3CD6" w14:textId="77777777" w:rsidR="00135995" w:rsidRDefault="00553C57">
      <w:pPr>
        <w:widowControl w:val="0"/>
        <w:suppressAutoHyphens/>
        <w:jc w:val="both"/>
        <w:rPr>
          <w:color w:val="000000"/>
        </w:rPr>
      </w:pPr>
      <w:r>
        <w:rPr>
          <w:color w:val="000000"/>
        </w:rPr>
        <w:t>2011 m. vasario 22 d.</w:t>
      </w:r>
    </w:p>
    <w:p w14:paraId="358F3CD9" w14:textId="258D10D7" w:rsidR="00135995" w:rsidRDefault="00553C57"/>
    <w:bookmarkEnd w:id="0" w:displacedByCustomXml="next"/>
    <w:sectPr w:rsidR="00135995">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3CDD" w14:textId="77777777" w:rsidR="00135995" w:rsidRDefault="00553C57">
      <w:r>
        <w:separator/>
      </w:r>
    </w:p>
  </w:endnote>
  <w:endnote w:type="continuationSeparator" w:id="0">
    <w:p w14:paraId="358F3CDE" w14:textId="77777777" w:rsidR="00135995" w:rsidRDefault="0055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CE1" w14:textId="77777777" w:rsidR="00135995" w:rsidRDefault="00135995">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CE2" w14:textId="77777777" w:rsidR="00135995" w:rsidRDefault="00135995">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CE4" w14:textId="77777777" w:rsidR="00135995" w:rsidRDefault="00135995">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3CDB" w14:textId="77777777" w:rsidR="00135995" w:rsidRDefault="00553C57">
      <w:r>
        <w:separator/>
      </w:r>
    </w:p>
  </w:footnote>
  <w:footnote w:type="continuationSeparator" w:id="0">
    <w:p w14:paraId="358F3CDC" w14:textId="77777777" w:rsidR="00135995" w:rsidRDefault="0055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CDF" w14:textId="77777777" w:rsidR="00135995" w:rsidRDefault="0013599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CE0" w14:textId="77777777" w:rsidR="00135995" w:rsidRDefault="0013599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CE3" w14:textId="77777777" w:rsidR="00135995" w:rsidRDefault="0013599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8C"/>
    <w:rsid w:val="00135995"/>
    <w:rsid w:val="00553C57"/>
    <w:rsid w:val="00C353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8F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3C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3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89A16422DD2"/>
  <Relationship Id="rId11" Type="http://schemas.openxmlformats.org/officeDocument/2006/relationships/hyperlink" TargetMode="External" Target="https://www.e-tar.lt/portal/lt/legalAct/TAR.0C5E56A6D3E0"/>
  <Relationship Id="rId12" Type="http://schemas.openxmlformats.org/officeDocument/2006/relationships/hyperlink" TargetMode="External" Target="https://www.e-tar.lt/portal/lt/legalAct/TAR.EBAC8474F95A"/>
  <Relationship Id="rId13" Type="http://schemas.openxmlformats.org/officeDocument/2006/relationships/hyperlink" TargetMode="External" Target="https://www.e-tar.lt/portal/lt/legalAct/TAR.63232BE5A915"/>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BB"/>
    <w:rsid w:val="002654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54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54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2798</Words>
  <Characters>1596</Characters>
  <Application>Microsoft Office Word</Application>
  <DocSecurity>0</DocSecurity>
  <Lines>13</Lines>
  <Paragraphs>8</Paragraphs>
  <ScaleCrop>false</ScaleCrop>
  <Company/>
  <LinksUpToDate>false</LinksUpToDate>
  <CharactersWithSpaces>4386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2015-04-23T13:10:00Z</dcterms:created>
  <dc:creator>Rima</dc:creator>
  <lastModifiedBy>TAMALIŪNIENĖ Vilija</lastModifiedBy>
  <dcterms:modified xsi:type="dcterms:W3CDTF">2015-04-23T13:25:00Z</dcterms:modified>
  <revision>3</revision>
  <dc:title>LIETUVOS RESPUBLIKOS SUSISIEKIMO MINISTRO</dc:title>
</coreProperties>
</file>