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F0C0" w14:textId="77777777" w:rsidR="00874055" w:rsidRDefault="00874055">
      <w:pPr>
        <w:tabs>
          <w:tab w:val="center" w:pos="4153"/>
          <w:tab w:val="right" w:pos="8306"/>
        </w:tabs>
        <w:rPr>
          <w:lang w:val="en-GB"/>
        </w:rPr>
      </w:pPr>
    </w:p>
    <w:p w14:paraId="340AF0C1" w14:textId="77777777" w:rsidR="00874055" w:rsidRDefault="00874055">
      <w:pPr>
        <w:tabs>
          <w:tab w:val="center" w:pos="4153"/>
          <w:tab w:val="right" w:pos="8306"/>
        </w:tabs>
        <w:rPr>
          <w:lang w:val="en-GB"/>
        </w:rPr>
      </w:pPr>
    </w:p>
    <w:p w14:paraId="340AF0C2" w14:textId="77777777" w:rsidR="00874055" w:rsidRDefault="005A4E66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340AF0E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340AF0C3" w14:textId="77777777" w:rsidR="00874055" w:rsidRDefault="005A4E66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340AF0C4" w14:textId="77777777" w:rsidR="00874055" w:rsidRDefault="00874055">
      <w:pPr>
        <w:widowControl w:val="0"/>
        <w:jc w:val="center"/>
        <w:outlineLvl w:val="1"/>
        <w:rPr>
          <w:caps/>
        </w:rPr>
      </w:pPr>
    </w:p>
    <w:p w14:paraId="340AF0C5" w14:textId="77777777" w:rsidR="00874055" w:rsidRDefault="005A4E66">
      <w:pPr>
        <w:jc w:val="center"/>
        <w:rPr>
          <w:b/>
        </w:rPr>
      </w:pPr>
      <w:r>
        <w:rPr>
          <w:b/>
        </w:rPr>
        <w:t xml:space="preserve">DĖL </w:t>
      </w:r>
      <w:r>
        <w:rPr>
          <w:b/>
          <w:caps/>
        </w:rPr>
        <w:t>Lietuvos Respublikos vyriausybės 2004 m. BALANDŽIO 9 d. nutarimo nr. 408 „DĖL APDOROTO TABAKO, ETILO ALKOHOLIO IR ALKOHOLINIŲ GĖRIMŲ ŽENKLINIMO SPECIALIAIS ŽENKLAIS – BANDERO</w:t>
      </w:r>
      <w:r>
        <w:rPr>
          <w:b/>
          <w:caps/>
        </w:rPr>
        <w:t>LĖMIS TAISYKLIŲ PATVIRTINIMO“ pakeitimo</w:t>
      </w:r>
    </w:p>
    <w:p w14:paraId="340AF0C6" w14:textId="77777777" w:rsidR="00874055" w:rsidRDefault="00874055"/>
    <w:p w14:paraId="340AF0C7" w14:textId="77777777" w:rsidR="00874055" w:rsidRDefault="005A4E66">
      <w:pPr>
        <w:jc w:val="center"/>
      </w:pPr>
      <w:r>
        <w:t>2011 m. vasario 23 d. Nr. 208</w:t>
      </w:r>
    </w:p>
    <w:p w14:paraId="340AF0C8" w14:textId="77777777" w:rsidR="00874055" w:rsidRDefault="005A4E66">
      <w:pPr>
        <w:jc w:val="center"/>
      </w:pPr>
      <w:r>
        <w:t>Vilnius</w:t>
      </w:r>
    </w:p>
    <w:p w14:paraId="340AF0C9" w14:textId="77777777" w:rsidR="00874055" w:rsidRDefault="00874055">
      <w:pPr>
        <w:jc w:val="center"/>
      </w:pPr>
    </w:p>
    <w:p w14:paraId="340AF0CA" w14:textId="77777777" w:rsidR="00874055" w:rsidRDefault="005A4E66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340AF0CB" w14:textId="77777777" w:rsidR="00874055" w:rsidRDefault="005A4E66">
      <w:pPr>
        <w:ind w:firstLine="567"/>
        <w:jc w:val="both"/>
      </w:pPr>
      <w:r>
        <w:t>Pakeisti Lietuvos Respublikos Vyriausybės 2004 m. balandžio 9 d. nutarimą Nr. 408 „Dėl Apdoroto tabako, etilo alkoholio ir alkoholini</w:t>
      </w:r>
      <w:r>
        <w:t>ų gėrimų ženklinimo specialiais ženklais – banderolėmis taisyklių patvirtinimo“ (</w:t>
      </w:r>
      <w:proofErr w:type="spellStart"/>
      <w:r>
        <w:t>Žin</w:t>
      </w:r>
      <w:proofErr w:type="spellEnd"/>
      <w:r>
        <w:t xml:space="preserve">., 2004, Nr. </w:t>
      </w:r>
      <w:hyperlink r:id="rId10" w:tgtFrame="_blank" w:history="1">
        <w:r>
          <w:rPr>
            <w:color w:val="0000FF"/>
            <w:u w:val="single"/>
          </w:rPr>
          <w:t>56-1942</w:t>
        </w:r>
      </w:hyperlink>
      <w:r>
        <w:t xml:space="preserve">; 2007, Nr. </w:t>
      </w:r>
      <w:hyperlink r:id="rId11" w:tgtFrame="_blank" w:history="1">
        <w:r>
          <w:rPr>
            <w:color w:val="0000FF"/>
            <w:u w:val="single"/>
          </w:rPr>
          <w:t>47-1788</w:t>
        </w:r>
      </w:hyperlink>
      <w:r>
        <w:t>; 2008, Nr. </w:t>
      </w:r>
      <w:hyperlink r:id="rId12" w:tgtFrame="_blank" w:history="1">
        <w:r>
          <w:rPr>
            <w:color w:val="0000FF"/>
            <w:u w:val="single"/>
          </w:rPr>
          <w:t>7-247</w:t>
        </w:r>
      </w:hyperlink>
      <w:r>
        <w:t xml:space="preserve">, Nr. </w:t>
      </w:r>
      <w:hyperlink r:id="rId13" w:tgtFrame="_blank" w:history="1">
        <w:r>
          <w:rPr>
            <w:color w:val="0000FF"/>
            <w:u w:val="single"/>
          </w:rPr>
          <w:t>62-2344</w:t>
        </w:r>
      </w:hyperlink>
      <w:r>
        <w:t>):</w:t>
      </w:r>
    </w:p>
    <w:p w14:paraId="340AF0CC" w14:textId="77777777" w:rsidR="00874055" w:rsidRDefault="005A4E66">
      <w:pPr>
        <w:ind w:firstLine="567"/>
        <w:jc w:val="both"/>
      </w:pPr>
      <w:r>
        <w:t>1</w:t>
      </w:r>
      <w:r>
        <w:t>. Išdėstyti</w:t>
      </w:r>
      <w:r>
        <w:t xml:space="preserve"> preambulę taip:</w:t>
      </w:r>
    </w:p>
    <w:p w14:paraId="340AF0CD" w14:textId="77777777" w:rsidR="00874055" w:rsidRDefault="005A4E66">
      <w:pPr>
        <w:ind w:firstLine="567"/>
        <w:jc w:val="both"/>
      </w:pPr>
      <w:r>
        <w:t>„Vadovaudamasi Lietuvos Respublikos akcizų įstatymo (</w:t>
      </w:r>
      <w:proofErr w:type="spellStart"/>
      <w:r>
        <w:t>Žin</w:t>
      </w:r>
      <w:proofErr w:type="spellEnd"/>
      <w:r>
        <w:t xml:space="preserve">., 2001, Nr. </w:t>
      </w:r>
      <w:hyperlink r:id="rId14" w:tgtFrame="_blank" w:history="1">
        <w:r>
          <w:rPr>
            <w:color w:val="0000FF"/>
            <w:u w:val="single"/>
          </w:rPr>
          <w:t>98-3482</w:t>
        </w:r>
      </w:hyperlink>
      <w:r>
        <w:t xml:space="preserve">; 2010, Nr. </w:t>
      </w:r>
      <w:hyperlink r:id="rId15" w:tgtFrame="_blank" w:history="1">
        <w:r>
          <w:rPr>
            <w:color w:val="0000FF"/>
            <w:u w:val="single"/>
          </w:rPr>
          <w:t>45-2174</w:t>
        </w:r>
      </w:hyperlink>
      <w:r>
        <w:t>) 29 ir 32 straipsniais ir atsižvelgdama į Lietuvos Respublikos alkoholio kontrolės įstatymo (</w:t>
      </w:r>
      <w:proofErr w:type="spellStart"/>
      <w:r>
        <w:t>Žin</w:t>
      </w:r>
      <w:proofErr w:type="spellEnd"/>
      <w:r>
        <w:t xml:space="preserve">., 1995, Nr. </w:t>
      </w:r>
      <w:hyperlink r:id="rId16" w:tgtFrame="_blank" w:history="1">
        <w:r>
          <w:rPr>
            <w:color w:val="0000FF"/>
            <w:u w:val="single"/>
          </w:rPr>
          <w:t>44-1073</w:t>
        </w:r>
      </w:hyperlink>
      <w:r>
        <w:t xml:space="preserve">; 2004, Nr. </w:t>
      </w:r>
      <w:hyperlink r:id="rId17" w:tgtFrame="_blank" w:history="1">
        <w:r>
          <w:rPr>
            <w:color w:val="0000FF"/>
            <w:u w:val="single"/>
          </w:rPr>
          <w:t>47-1548</w:t>
        </w:r>
      </w:hyperlink>
      <w:r>
        <w:t>) nuostatas, 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a:“.</w:t>
      </w:r>
    </w:p>
    <w:p w14:paraId="340AF0CE" w14:textId="77777777" w:rsidR="00874055" w:rsidRDefault="005A4E66">
      <w:pPr>
        <w:ind w:firstLine="567"/>
        <w:jc w:val="both"/>
      </w:pPr>
      <w:r>
        <w:t>2</w:t>
      </w:r>
      <w:r>
        <w:t>. Nurodytu nutarimu patvirtintose Apdoroto tabako, etilo alkoholio ir alkoholinių gėrimų ženklinimo s</w:t>
      </w:r>
      <w:r>
        <w:t>pecialiais ženklais – banderolėmis taisyklėse:</w:t>
      </w:r>
    </w:p>
    <w:p w14:paraId="340AF0CF" w14:textId="77777777" w:rsidR="00874055" w:rsidRDefault="005A4E66">
      <w:pPr>
        <w:ind w:firstLine="567"/>
        <w:jc w:val="both"/>
      </w:pPr>
      <w:r>
        <w:t>2.1</w:t>
      </w:r>
      <w:r>
        <w:t>. išdėstyti 1 punktą taip:</w:t>
      </w:r>
    </w:p>
    <w:p w14:paraId="340AF0D0" w14:textId="77777777" w:rsidR="00874055" w:rsidRDefault="005A4E66">
      <w:pPr>
        <w:ind w:firstLine="567"/>
        <w:jc w:val="both"/>
      </w:pPr>
      <w:r>
        <w:t>„</w:t>
      </w:r>
      <w:r>
        <w:t>1</w:t>
      </w:r>
      <w:r>
        <w:t>. Apdoroto tabako, etilo alkoholio ir alkoholinių gėrimų ženklinimo specialiais ženklais – banderolėmis taisyklės (toliau vadinama – Taisyklės) reglamentuoja skirto parduoti Lietuvos Respublikoje apdoroto tabako, Lietuvos Respublikos akcizų įstatymo (</w:t>
      </w:r>
      <w:proofErr w:type="spellStart"/>
      <w:r>
        <w:t>Žin</w:t>
      </w:r>
      <w:proofErr w:type="spellEnd"/>
      <w:r>
        <w:t>.,</w:t>
      </w:r>
      <w:r>
        <w:t xml:space="preserve"> 2001, Nr. </w:t>
      </w:r>
      <w:hyperlink r:id="rId18" w:tgtFrame="_blank" w:history="1">
        <w:r>
          <w:rPr>
            <w:color w:val="0000FF"/>
            <w:u w:val="single"/>
          </w:rPr>
          <w:t>98-3482</w:t>
        </w:r>
      </w:hyperlink>
      <w:r>
        <w:t xml:space="preserve">; 2010, Nr. </w:t>
      </w:r>
      <w:hyperlink r:id="rId19" w:tgtFrame="_blank" w:history="1">
        <w:r>
          <w:rPr>
            <w:color w:val="0000FF"/>
            <w:u w:val="single"/>
          </w:rPr>
          <w:t>45-2174</w:t>
        </w:r>
      </w:hyperlink>
      <w:r>
        <w:t>) 29 straipsnyje nurodyto etilo alkoholio (toliau</w:t>
      </w:r>
      <w:r>
        <w:t xml:space="preserve"> vadinama – etilo alkoholis) ir alkoholinių gėrimų ženklinimo specialiais ženklais – banderolėmis tvarką, taip pat atvejus, kai ženklinti nereikalaujama.“;</w:t>
      </w:r>
    </w:p>
    <w:p w14:paraId="340AF0D1" w14:textId="77777777" w:rsidR="00874055" w:rsidRDefault="005A4E66">
      <w:pPr>
        <w:ind w:firstLine="567"/>
        <w:jc w:val="both"/>
      </w:pPr>
      <w:r>
        <w:t>2.2</w:t>
      </w:r>
      <w:r>
        <w:t>. išdėstyti 14.3 punktą taip:</w:t>
      </w:r>
    </w:p>
    <w:p w14:paraId="340AF0D2" w14:textId="77777777" w:rsidR="00874055" w:rsidRDefault="005A4E66">
      <w:pPr>
        <w:ind w:firstLine="567"/>
        <w:jc w:val="both"/>
      </w:pPr>
      <w:r>
        <w:t>„</w:t>
      </w:r>
      <w:r>
        <w:t>14.3</w:t>
      </w:r>
      <w:r>
        <w:t>. apdorotą tabaką, etilo alkoholį ar alkoholinius gė</w:t>
      </w:r>
      <w:r>
        <w:t>rimus sandėliuojančiam asmeniui, atitinkančiam Akcizais apmokestinamų prekių sandėlio savininko prievolių įvykdymo užtikrinimo sumos ir piniginio užstato dydžio apskaičiavimo ir tikslinimo tvarkos aprašo, patvirtinto Lietuvos Respublikos Vyriausybės 2002 m</w:t>
      </w:r>
      <w:r>
        <w:t>. birželio 4 d. nutarimu Nr. 821 (</w:t>
      </w:r>
      <w:proofErr w:type="spellStart"/>
      <w:r>
        <w:t>Žin</w:t>
      </w:r>
      <w:proofErr w:type="spellEnd"/>
      <w:r>
        <w:t xml:space="preserve">., 2002, Nr. </w:t>
      </w:r>
      <w:hyperlink r:id="rId20" w:tgtFrame="_blank" w:history="1">
        <w:r>
          <w:rPr>
            <w:color w:val="0000FF"/>
            <w:u w:val="single"/>
          </w:rPr>
          <w:t>56-2264</w:t>
        </w:r>
      </w:hyperlink>
      <w:r>
        <w:t xml:space="preserve">; 2010, Nr. </w:t>
      </w:r>
      <w:hyperlink r:id="rId21" w:tgtFrame="_blank" w:history="1">
        <w:r>
          <w:rPr>
            <w:color w:val="0000FF"/>
            <w:u w:val="single"/>
          </w:rPr>
          <w:t>61-2988</w:t>
        </w:r>
      </w:hyperlink>
      <w:r>
        <w:t>), 6.1, 6.</w:t>
      </w:r>
      <w:r>
        <w:t>3 ir 6.4 punktuose nustatytus reikalavimus. Šiame punkte nurodytos prekės turi būti sandėliuojamos ir ženklinamos banderolėmis rašytinės sutarties pagrindu.“;</w:t>
      </w:r>
    </w:p>
    <w:p w14:paraId="340AF0D3" w14:textId="77777777" w:rsidR="00874055" w:rsidRDefault="005A4E66">
      <w:pPr>
        <w:keepNext/>
        <w:ind w:firstLine="567"/>
        <w:jc w:val="both"/>
      </w:pPr>
      <w:r>
        <w:t>2.3</w:t>
      </w:r>
      <w:r>
        <w:t>. išdėstyti 21.1 punktą taip:</w:t>
      </w:r>
    </w:p>
    <w:p w14:paraId="340AF0D4" w14:textId="77777777" w:rsidR="00874055" w:rsidRDefault="005A4E66">
      <w:pPr>
        <w:keepNext/>
        <w:ind w:firstLine="567"/>
        <w:jc w:val="both"/>
      </w:pPr>
      <w:r>
        <w:t>„</w:t>
      </w:r>
      <w:r>
        <w:t>21.1</w:t>
      </w:r>
      <w:r>
        <w:t>. kai apdorotas tabakas, etilo alkoholis ir alkoh</w:t>
      </w:r>
      <w:r>
        <w:t>oliniai gėrimai nuo akcizų atleidžiami Lietuvos Respublikos akcizų įstatyme nustatytais atvejais, išskyrus:</w:t>
      </w:r>
    </w:p>
    <w:p w14:paraId="340AF0D5" w14:textId="77777777" w:rsidR="00874055" w:rsidRDefault="005A4E66">
      <w:pPr>
        <w:ind w:firstLine="567"/>
        <w:jc w:val="both"/>
      </w:pPr>
      <w:r>
        <w:t>21.1.1</w:t>
      </w:r>
      <w:r>
        <w:t>. Lietuvos Respublikos akcizų įstatymo 19 straipsnio 1 dalies 2 punkte nurodytą atvejį;</w:t>
      </w:r>
    </w:p>
    <w:p w14:paraId="340AF0D6" w14:textId="77777777" w:rsidR="00874055" w:rsidRDefault="005A4E66">
      <w:pPr>
        <w:ind w:firstLine="567"/>
        <w:jc w:val="both"/>
      </w:pPr>
      <w:r>
        <w:t>21.1.2</w:t>
      </w:r>
      <w:r>
        <w:t xml:space="preserve">. kai šios prekės yra skirtos ne Lietuvos </w:t>
      </w:r>
      <w:r>
        <w:t>Respublikos, o kitų Šiaurės Atlanto sutarties organizacijos šalių kariuomenių vienetams šiems vienetams ar juos lydintiems civiliams darbuotojams naudoti, kai Lietuvos Respublikoje šie vienetai dalyvauja bendrose karinėse operacijose, pratybose ar kitame b</w:t>
      </w:r>
      <w:r>
        <w:t>endrame kariniame renginyje, ir Lietuvos Respublikoje pripažintoms tarptautinėms organizacijoms, jų atstovybėms bei jų nariams;“;</w:t>
      </w:r>
    </w:p>
    <w:p w14:paraId="340AF0D7" w14:textId="77777777" w:rsidR="00874055" w:rsidRDefault="005A4E66">
      <w:pPr>
        <w:ind w:firstLine="567"/>
        <w:jc w:val="both"/>
      </w:pPr>
      <w:r>
        <w:t>2.4</w:t>
      </w:r>
      <w:r>
        <w:t>. išdėstyti 21.3 punktą taip:</w:t>
      </w:r>
    </w:p>
    <w:p w14:paraId="340AF0D8" w14:textId="77777777" w:rsidR="00874055" w:rsidRDefault="005A4E66">
      <w:pPr>
        <w:ind w:firstLine="567"/>
        <w:jc w:val="both"/>
      </w:pPr>
      <w:r>
        <w:t>„</w:t>
      </w:r>
      <w:r>
        <w:t>21.3</w:t>
      </w:r>
      <w:r>
        <w:t>. Lietuvos Respublikos akcizų įstatymo 9 straipsnio 1 dalies 7 punkte nurody</w:t>
      </w:r>
      <w:r>
        <w:t>tais atvejais, išskyrus tuos atvejus, kai laikomi apdorotas tabakas, etilo alkoholis ir alkoholiniai gėrimai, skirti parduoti Lietuvos Respublikoje;“;</w:t>
      </w:r>
    </w:p>
    <w:p w14:paraId="340AF0D9" w14:textId="77777777" w:rsidR="00874055" w:rsidRDefault="005A4E66">
      <w:pPr>
        <w:ind w:firstLine="567"/>
        <w:jc w:val="both"/>
      </w:pPr>
      <w:r>
        <w:t>2.5</w:t>
      </w:r>
      <w:r>
        <w:t>. išdėstyti 21.4 punktą taip:</w:t>
      </w:r>
    </w:p>
    <w:p w14:paraId="340AF0DA" w14:textId="77777777" w:rsidR="00874055" w:rsidRDefault="005A4E66">
      <w:pPr>
        <w:ind w:firstLine="567"/>
        <w:jc w:val="both"/>
      </w:pPr>
      <w:r>
        <w:t>„</w:t>
      </w:r>
      <w:r>
        <w:t>21.4</w:t>
      </w:r>
      <w:r>
        <w:t xml:space="preserve">. ant etilo alkoholio ir alkoholinių gėrimų, skirtų </w:t>
      </w:r>
      <w:r>
        <w:t>keleiviams parduoti arba vartoti orlaiviuose;“;</w:t>
      </w:r>
    </w:p>
    <w:p w14:paraId="340AF0DB" w14:textId="77777777" w:rsidR="00874055" w:rsidRDefault="005A4E66">
      <w:pPr>
        <w:ind w:firstLine="567"/>
        <w:jc w:val="both"/>
      </w:pPr>
      <w:r>
        <w:t>2.6</w:t>
      </w:r>
      <w:r>
        <w:t>. išdėstyti 21.7 punktą taip:</w:t>
      </w:r>
    </w:p>
    <w:p w14:paraId="340AF0DC" w14:textId="77777777" w:rsidR="00874055" w:rsidRDefault="005A4E66">
      <w:pPr>
        <w:ind w:firstLine="567"/>
        <w:jc w:val="both"/>
      </w:pPr>
      <w:r>
        <w:t>„</w:t>
      </w:r>
      <w:r>
        <w:t>21.7</w:t>
      </w:r>
      <w:r>
        <w:t>. ant etilo alkoholio ir alkoholinių gėrimų, įvežamų iš bet kurios valstybės ar teritorijos ir skirtų pristatyti, demonstruoti ar degustuoti Lietuvos Respubliko</w:t>
      </w:r>
      <w:r>
        <w:t>je organizuojamose parodose ir reprezentaciniuose renginiuose. Šiame punkte nurodytu atveju asmuo apie numatomą etilo alkoholio ir alkoholinių gėrimų įvežimą informuoja Narkotikų, tabako ir alkoholio kontrolės departamentą šios institucijos nustatyta tvark</w:t>
      </w:r>
      <w:r>
        <w:t>a;“;</w:t>
      </w:r>
    </w:p>
    <w:p w14:paraId="340AF0DD" w14:textId="77777777" w:rsidR="00874055" w:rsidRDefault="005A4E66">
      <w:pPr>
        <w:ind w:firstLine="567"/>
        <w:jc w:val="both"/>
      </w:pPr>
      <w:r>
        <w:t>2.7</w:t>
      </w:r>
      <w:r>
        <w:t>. išdėstyti 21.8 punktą taip:</w:t>
      </w:r>
    </w:p>
    <w:p w14:paraId="340AF0DE" w14:textId="77777777" w:rsidR="00874055" w:rsidRDefault="005A4E66">
      <w:pPr>
        <w:ind w:firstLine="567"/>
        <w:jc w:val="both"/>
      </w:pPr>
      <w:r>
        <w:t>„</w:t>
      </w:r>
      <w:r>
        <w:t>21.8</w:t>
      </w:r>
      <w:r>
        <w:t>. ant etilo alkoholio ir alkoholinių gėrimų, parduodamų iš Lietuvos Respublikos į bet kurią valstybę ar teritoriją išvykstantiems keleiviams tarptautiniuose oro uostuose esančiose Lietuvos Respublikos ak</w:t>
      </w:r>
      <w:r>
        <w:t>cizų įstatymo 19 straipsnio 1 dalies 1 punkte nurodytose specialiose prekybos vietose, kai šiose vietose įsteigtas akcizais apmokestinamų prekių sandėlis.“</w:t>
      </w:r>
    </w:p>
    <w:p w14:paraId="340AF0DF" w14:textId="77777777" w:rsidR="00874055" w:rsidRDefault="005A4E66">
      <w:pPr>
        <w:ind w:firstLine="567"/>
        <w:jc w:val="both"/>
      </w:pPr>
      <w:r>
        <w:t>3</w:t>
      </w:r>
      <w:r>
        <w:t>. Pripažinti netekusiu galios Lietuvos Respublikos Vyriausybės 2007 m. balandžio 25 d. nu</w:t>
      </w:r>
      <w:r>
        <w:t>tarimą Nr. 383 „Dėl Lietuvos Respublikos Vyriausybės 2004 m. balandžio 9 d. nutarimo Nr. 408 „Dėl Apdoroto tabako, etilo alkoholio ir alkoholinių gėrimų ženklinimo specialiais ženklais – banderolėmis taisyklių patvirtinimo“ papildymo“ (</w:t>
      </w:r>
      <w:proofErr w:type="spellStart"/>
      <w:r>
        <w:t>Žin</w:t>
      </w:r>
      <w:proofErr w:type="spellEnd"/>
      <w:r>
        <w:t xml:space="preserve">., 2007, Nr. </w:t>
      </w:r>
      <w:hyperlink r:id="rId22" w:tgtFrame="_blank" w:history="1">
        <w:r>
          <w:rPr>
            <w:color w:val="0000FF"/>
            <w:u w:val="single"/>
          </w:rPr>
          <w:t>47-1788</w:t>
        </w:r>
      </w:hyperlink>
      <w:r>
        <w:t>).</w:t>
      </w:r>
    </w:p>
    <w:p w14:paraId="340AF0E0" w14:textId="77777777" w:rsidR="00874055" w:rsidRDefault="005A4E66">
      <w:pPr>
        <w:ind w:firstLine="567"/>
        <w:jc w:val="both"/>
      </w:pPr>
      <w:r>
        <w:t>4</w:t>
      </w:r>
      <w:r>
        <w:t>. Šio nutarimo 2.6 ir 3 punktai įsigalioja 2011 m. balandžio 1 dieną.</w:t>
      </w:r>
    </w:p>
    <w:p w14:paraId="340AF0E1" w14:textId="77777777" w:rsidR="00874055" w:rsidRDefault="00874055">
      <w:pPr>
        <w:jc w:val="both"/>
      </w:pPr>
    </w:p>
    <w:p w14:paraId="57F2100E" w14:textId="77777777" w:rsidR="005A4E66" w:rsidRDefault="005A4E66">
      <w:pPr>
        <w:jc w:val="both"/>
      </w:pPr>
    </w:p>
    <w:p w14:paraId="340AF0E2" w14:textId="77777777" w:rsidR="00874055" w:rsidRDefault="005A4E66">
      <w:pPr>
        <w:jc w:val="both"/>
      </w:pPr>
    </w:p>
    <w:p w14:paraId="340AF0E3" w14:textId="77777777" w:rsidR="00874055" w:rsidRDefault="005A4E66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340AF0E4" w14:textId="77777777" w:rsidR="00874055" w:rsidRDefault="00874055"/>
    <w:p w14:paraId="7C5EDDF9" w14:textId="77777777" w:rsidR="005A4E66" w:rsidRDefault="005A4E66"/>
    <w:p w14:paraId="5E768115" w14:textId="77777777" w:rsidR="005A4E66" w:rsidRDefault="005A4E66">
      <w:bookmarkStart w:id="0" w:name="_GoBack"/>
      <w:bookmarkEnd w:id="0"/>
    </w:p>
    <w:p w14:paraId="340AF0E5" w14:textId="77777777" w:rsidR="00874055" w:rsidRDefault="005A4E66">
      <w:pPr>
        <w:tabs>
          <w:tab w:val="right" w:pos="9071"/>
        </w:tabs>
      </w:pPr>
      <w:r>
        <w:t>FINANSŲ MINISTRĖ</w:t>
      </w:r>
      <w:r>
        <w:tab/>
        <w:t>INGRIDA ŠIMONYTĖ</w:t>
      </w:r>
    </w:p>
    <w:p w14:paraId="340AF0E6" w14:textId="77777777" w:rsidR="00874055" w:rsidRDefault="00874055"/>
    <w:p w14:paraId="340AF0E7" w14:textId="77777777" w:rsidR="00874055" w:rsidRDefault="005A4E66">
      <w:pPr>
        <w:jc w:val="center"/>
      </w:pPr>
    </w:p>
    <w:sectPr w:rsidR="0087405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AF0EB" w14:textId="77777777" w:rsidR="00874055" w:rsidRDefault="005A4E66">
      <w:r>
        <w:separator/>
      </w:r>
    </w:p>
  </w:endnote>
  <w:endnote w:type="continuationSeparator" w:id="0">
    <w:p w14:paraId="340AF0EC" w14:textId="77777777" w:rsidR="00874055" w:rsidRDefault="005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F0F1" w14:textId="77777777" w:rsidR="00874055" w:rsidRDefault="00874055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F0F2" w14:textId="77777777" w:rsidR="00874055" w:rsidRDefault="00874055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F0F4" w14:textId="77777777" w:rsidR="00874055" w:rsidRDefault="00874055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AF0E9" w14:textId="77777777" w:rsidR="00874055" w:rsidRDefault="005A4E66">
      <w:r>
        <w:separator/>
      </w:r>
    </w:p>
  </w:footnote>
  <w:footnote w:type="continuationSeparator" w:id="0">
    <w:p w14:paraId="340AF0EA" w14:textId="77777777" w:rsidR="00874055" w:rsidRDefault="005A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F0ED" w14:textId="77777777" w:rsidR="00874055" w:rsidRDefault="005A4E66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40AF0EE" w14:textId="77777777" w:rsidR="00874055" w:rsidRDefault="00874055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F0EF" w14:textId="77777777" w:rsidR="00874055" w:rsidRDefault="005A4E66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340AF0F0" w14:textId="77777777" w:rsidR="00874055" w:rsidRDefault="00874055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F0F3" w14:textId="77777777" w:rsidR="00874055" w:rsidRDefault="00874055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75"/>
    <w:rsid w:val="005A4E66"/>
    <w:rsid w:val="00874055"/>
    <w:rsid w:val="00E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0AF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E5B2EFECC1"/>
  <Relationship Id="rId11" Type="http://schemas.openxmlformats.org/officeDocument/2006/relationships/hyperlink" TargetMode="External" Target="https://www.e-tar.lt/portal/lt/legalAct/TAR.B9459F02DD3A"/>
  <Relationship Id="rId12" Type="http://schemas.openxmlformats.org/officeDocument/2006/relationships/hyperlink" TargetMode="External" Target="https://www.e-tar.lt/portal/lt/legalAct/TAR.21285BA80976"/>
  <Relationship Id="rId13" Type="http://schemas.openxmlformats.org/officeDocument/2006/relationships/hyperlink" TargetMode="External" Target="https://www.e-tar.lt/portal/lt/legalAct/TAR.4A2E65E351B2"/>
  <Relationship Id="rId14" Type="http://schemas.openxmlformats.org/officeDocument/2006/relationships/hyperlink" TargetMode="External" Target="https://www.e-tar.lt/portal/lt/legalAct/TAR.B9E1D301256F"/>
  <Relationship Id="rId15" Type="http://schemas.openxmlformats.org/officeDocument/2006/relationships/hyperlink" TargetMode="External" Target="https://www.e-tar.lt/portal/lt/legalAct/TAR.7E421A12D76D"/>
  <Relationship Id="rId16" Type="http://schemas.openxmlformats.org/officeDocument/2006/relationships/hyperlink" TargetMode="External" Target="https://www.e-tar.lt/portal/lt/legalAct/TAR.9E5C5C16B6E6"/>
  <Relationship Id="rId17" Type="http://schemas.openxmlformats.org/officeDocument/2006/relationships/hyperlink" TargetMode="External" Target="https://www.e-tar.lt/portal/lt/legalAct/TAR.65C0438E6F29"/>
  <Relationship Id="rId18" Type="http://schemas.openxmlformats.org/officeDocument/2006/relationships/hyperlink" TargetMode="External" Target="https://www.e-tar.lt/portal/lt/legalAct/TAR.B9E1D301256F"/>
  <Relationship Id="rId19" Type="http://schemas.openxmlformats.org/officeDocument/2006/relationships/hyperlink" TargetMode="External" Target="https://www.e-tar.lt/portal/lt/legalAct/TAR.7E421A12D76D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483A0EF1DEA0"/>
  <Relationship Id="rId21" Type="http://schemas.openxmlformats.org/officeDocument/2006/relationships/hyperlink" TargetMode="External" Target="https://www.e-tar.lt/portal/lt/legalAct/TAR.071D947F3B45"/>
  <Relationship Id="rId22" Type="http://schemas.openxmlformats.org/officeDocument/2006/relationships/hyperlink" TargetMode="External" Target="https://www.e-tar.lt/portal/lt/legalAct/TAR.B9459F02DD3A"/>
  <Relationship Id="rId23" Type="http://schemas.openxmlformats.org/officeDocument/2006/relationships/header" Target="header1.xml"/>
  <Relationship Id="rId24" Type="http://schemas.openxmlformats.org/officeDocument/2006/relationships/header" Target="header2.xml"/>
  <Relationship Id="rId25" Type="http://schemas.openxmlformats.org/officeDocument/2006/relationships/footer" Target="footer1.xml"/>
  <Relationship Id="rId26" Type="http://schemas.openxmlformats.org/officeDocument/2006/relationships/footer" Target="footer2.xml"/>
  <Relationship Id="rId27" Type="http://schemas.openxmlformats.org/officeDocument/2006/relationships/header" Target="header3.xml"/>
  <Relationship Id="rId28" Type="http://schemas.openxmlformats.org/officeDocument/2006/relationships/footer" Target="footer3.xml"/>
  <Relationship Id="rId29" Type="http://schemas.openxmlformats.org/officeDocument/2006/relationships/fontTable" Target="fontTable.xml"/>
  <Relationship Id="rId3" Type="http://schemas.microsoft.com/office/2007/relationships/stylesWithEffects" Target="stylesWithEffects.xml"/>
  <Relationship Id="rId30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3768</Words>
  <Characters>2149</Characters>
  <Application>Microsoft Office Word</Application>
  <DocSecurity>0</DocSecurity>
  <Lines>17</Lines>
  <Paragraphs>11</Paragraphs>
  <ScaleCrop>false</ScaleCrop>
  <Company>LRVK</Company>
  <LinksUpToDate>false</LinksUpToDate>
  <CharactersWithSpaces>5906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2019-03-01T08:37:00Z</dcterms:created>
  <dc:creator>lrvk</dc:creator>
  <lastModifiedBy>BODIN Aušra</lastModifiedBy>
  <lastPrinted>2011-02-24T11:08:00Z</lastPrinted>
  <dcterms:modified xsi:type="dcterms:W3CDTF">2019-03-01T11:39:00Z</dcterms:modified>
  <revision>3</revision>
</coreProperties>
</file>