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0a2a8cd314b41c786cb42b1dc67eee3"/>
        <w:lock w:val="sdtLocked"/>
        <w:richText/>
      </w:sdtPr>
      <w:sdtContent>
        <w:p w14:paraId="590CFB9F" w14:textId="77777777">
          <w:pPr>
            <w:widowControl w:val="0"/>
            <w:suppressAutoHyphens/>
            <w:jc w:val="center"/>
            <w:rPr>
              <w:caps/>
              <w:color w:val="000000"/>
            </w:rPr>
          </w:pPr>
          <w:r>
            <w:rPr>
              <w:color w:val="000000"/>
              <w:lang w:val="en-US"/>
            </w:rPr>
            <w:pict w14:anchorId="590CFBBB">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ENERGETIKOS MINISTRO</w:t>
          </w:r>
        </w:p>
        <w:p w14:paraId="590CFBA0" w14:textId="77777777">
          <w:pPr>
            <w:widowControl w:val="0"/>
            <w:suppressAutoHyphens/>
            <w:jc w:val="center"/>
            <w:rPr>
              <w:caps/>
              <w:color w:val="000000"/>
            </w:rPr>
          </w:pPr>
          <w:r>
            <w:rPr>
              <w:caps/>
              <w:color w:val="000000"/>
            </w:rPr>
            <w:t>į s a k y m a s</w:t>
          </w:r>
        </w:p>
        <w:p w14:paraId="590CFBA1" w14:textId="77777777">
          <w:pPr>
            <w:widowControl w:val="0"/>
            <w:suppressAutoHyphens/>
            <w:jc w:val="center"/>
            <w:rPr>
              <w:color w:val="000000"/>
            </w:rPr>
          </w:pPr>
        </w:p>
        <w:p w14:paraId="590CFBA2" w14:textId="77777777">
          <w:pPr>
            <w:widowControl w:val="0"/>
            <w:suppressAutoHyphens/>
            <w:jc w:val="center"/>
            <w:rPr>
              <w:b/>
              <w:bCs/>
              <w:caps/>
              <w:color w:val="000000"/>
            </w:rPr>
          </w:pPr>
          <w:r>
            <w:rPr>
              <w:b/>
              <w:bCs/>
              <w:caps/>
              <w:color w:val="000000"/>
            </w:rPr>
            <w:t xml:space="preserve">DĖL lietuvos respublikos ENERGETIKOS MINISTRO </w:t>
            <w:br/>
            <w:t>2010 m. GEGUŽĖS 19 D. ĮSAKYMO Nr. 1-145 „DĖL INFORMACIJOS, SUSIJUSIOS SU ENERGETIKOS VEIKLA, TEIKIMO VALSTYBĖS INSTITUCIJOMS, ĮSTAIGOMS IR TREČIOSIOMS ŠALIMS TAISYKLIŲ PATVIRTINIMO“ PAKEITIMO</w:t>
          </w:r>
        </w:p>
        <w:p w14:paraId="590CFBA3" w14:textId="77777777">
          <w:pPr>
            <w:widowControl w:val="0"/>
            <w:suppressAutoHyphens/>
            <w:jc w:val="center"/>
            <w:rPr>
              <w:color w:val="000000"/>
            </w:rPr>
          </w:pPr>
        </w:p>
        <w:p w14:paraId="590CFBA4" w14:textId="77777777">
          <w:pPr>
            <w:widowControl w:val="0"/>
            <w:suppressAutoHyphens/>
            <w:jc w:val="center"/>
            <w:rPr>
              <w:color w:val="000000"/>
            </w:rPr>
          </w:pPr>
          <w:r>
            <w:rPr>
              <w:color w:val="000000"/>
            </w:rPr>
            <w:t>2011 m. vasario 18 d. Nr. 1-36</w:t>
          </w:r>
        </w:p>
        <w:p w14:paraId="590CFBA5" w14:textId="77777777">
          <w:pPr>
            <w:widowControl w:val="0"/>
            <w:suppressAutoHyphens/>
            <w:jc w:val="center"/>
            <w:rPr>
              <w:color w:val="000000"/>
            </w:rPr>
          </w:pPr>
          <w:r>
            <w:rPr>
              <w:color w:val="000000"/>
            </w:rPr>
            <w:t>Vilnius</w:t>
          </w:r>
        </w:p>
        <w:p w14:paraId="590CFBA6" w14:textId="77777777">
          <w:pPr>
            <w:widowControl w:val="0"/>
            <w:suppressAutoHyphens/>
            <w:jc w:val="center"/>
            <w:rPr>
              <w:color w:val="000000"/>
            </w:rPr>
          </w:pPr>
        </w:p>
        <w:p w14:paraId="551CC1BE" w14:textId="77777777">
          <w:pPr>
            <w:widowControl w:val="0"/>
            <w:suppressAutoHyphens/>
            <w:jc w:val="center"/>
            <w:rPr>
              <w:color w:val="000000"/>
            </w:rPr>
          </w:pPr>
        </w:p>
        <w:sdt>
          <w:sdtPr>
            <w:alias w:val="preambule"/>
            <w:tag w:val="part_3d469a3916d342ef8b2c1f44e7660660"/>
            <w:lock w:val="sdtLocked"/>
            <w:richText/>
          </w:sdtPr>
          <w:sdtContent>
            <w:p w14:paraId="590CFBA7" w14:textId="77777777">
              <w:pPr>
                <w:widowControl w:val="0"/>
                <w:suppressAutoHyphens/>
                <w:ind w:firstLine="567"/>
                <w:jc w:val="both"/>
                <w:rPr>
                  <w:color w:val="000000"/>
                </w:rPr>
              </w:pPr>
              <w:r>
                <w:rPr>
                  <w:color w:val="000000"/>
                </w:rPr>
                <w:t xml:space="preserve">P a k e i č i u Lietuvos Respublikos energetikos ministro 2010 m. gegužės 19 d. įsakymą Nr. 1-145 „Dėl </w:t>
              </w:r>
              <w:r>
                <w:rPr>
                  <w:caps/>
                  <w:color w:val="000000"/>
                </w:rPr>
                <w:t>i</w:t>
              </w:r>
              <w:r>
                <w:rPr>
                  <w:color w:val="000000"/>
                </w:rPr>
                <w:t xml:space="preserve">nformacijos, susijusios su energetikos veikla, teikimo valstybės institucijoms, įstaigoms ir trečiosioms šalims taisyklių patvirtinimo“ (Žin., 2010, Nr. </w:t>
              </w:r>
              <w:fldSimple w:instr="HYPERLINK https://www.e-tar.lt/portal/lt/legalAct/TAR.796BC2407199 \t _blank">
                <w:r>
                  <w:rPr>
                    <w:color w:val="0000FF" w:themeColor="hyperlink"/>
                    <w:u w:val="single"/>
                  </w:rPr>
                  <w:t>59-2923</w:t>
                </w:r>
              </w:fldSimple>
              <w:r>
                <w:rPr>
                  <w:color w:val="000000"/>
                </w:rPr>
                <w:t>):</w:t>
              </w:r>
            </w:p>
          </w:sdtContent>
        </w:sdt>
        <w:sdt>
          <w:sdtPr>
            <w:alias w:val="1 p."/>
            <w:tag w:val="part_5559ceb2bd5b4b8890c24f95edbe88a1"/>
            <w:lock w:val="sdtLocked"/>
            <w:richText/>
          </w:sdtPr>
          <w:sdtContent>
            <w:p w14:paraId="590CFBA8" w14:textId="77777777">
              <w:pPr>
                <w:widowControl w:val="0"/>
                <w:suppressAutoHyphens/>
                <w:ind w:firstLine="567"/>
                <w:jc w:val="both"/>
                <w:rPr>
                  <w:color w:val="000000"/>
                </w:rPr>
              </w:pPr>
              <w:sdt>
                <w:sdtPr>
                  <w:alias w:val="Numeris"/>
                  <w:tag w:val="nr_5559ceb2bd5b4b8890c24f95edbe88a1"/>
                  <w:lock w:val="sdtLocked"/>
                  <w:richText/>
                </w:sdtPr>
                <w:sdtContent>
                  <w:r>
                    <w:rPr>
                      <w:color w:val="000000"/>
                    </w:rPr>
                    <w:t>1</w:t>
                  </w:r>
                </w:sdtContent>
              </w:sdt>
              <w:r>
                <w:rPr>
                  <w:color w:val="000000"/>
                </w:rPr>
                <w:t xml:space="preserve">. Išdėstau įsakymo preambulę taip: </w:t>
              </w:r>
            </w:p>
            <w:sdt>
              <w:sdtPr>
                <w:alias w:val="citata"/>
                <w:tag w:val="part_2decc702be9a42028cf0c0bc6f467f51"/>
                <w:lock w:val="sdtLocked"/>
                <w:richText/>
              </w:sdtPr>
              <w:sdtContent>
                <w:sdt>
                  <w:sdtPr>
                    <w:alias w:val="pastraipa"/>
                    <w:tag w:val="part_23d114ef5b3e4908910fbaf2524c9a5b"/>
                    <w:lock w:val="sdtLocked"/>
                    <w:richText/>
                  </w:sdtPr>
                  <w:sdtContent>
                    <w:p w14:paraId="590CFBA9" w14:textId="77777777">
                      <w:pPr>
                        <w:widowControl w:val="0"/>
                        <w:suppressAutoHyphens/>
                        <w:ind w:firstLine="567"/>
                        <w:jc w:val="both"/>
                        <w:rPr>
                          <w:color w:val="000000"/>
                        </w:rPr>
                      </w:pPr>
                      <w:r>
                        <w:rPr>
                          <w:color w:val="000000"/>
                        </w:rPr>
                        <w:t xml:space="preserve">„Vadovaudamasis Lietuvos Respublikos energetikos įstatymo (Žin., 2002, Nr. </w:t>
                      </w:r>
                      <w:fldSimple w:instr="HYPERLINK https://www.e-tar.lt/portal/lt/legalAct/TAR.44235B485568 \t _blank">
                        <w:r>
                          <w:rPr>
                            <w:color w:val="0000FF" w:themeColor="hyperlink"/>
                            <w:u w:val="single"/>
                          </w:rPr>
                          <w:t>56-2224</w:t>
                        </w:r>
                      </w:fldSimple>
                      <w:r>
                        <w:rPr>
                          <w:color w:val="000000"/>
                        </w:rPr>
                        <w:t xml:space="preserve">; 2007, Nr. </w:t>
                      </w:r>
                      <w:fldSimple w:instr="HYPERLINK https://www.e-tar.lt/portal/lt/legalAct/TAR.429CC7FAB351 \t _blank">
                        <w:r>
                          <w:rPr>
                            <w:color w:val="0000FF" w:themeColor="hyperlink"/>
                            <w:u w:val="single"/>
                          </w:rPr>
                          <w:t>55-2124</w:t>
                        </w:r>
                      </w:fldSimple>
                      <w:r>
                        <w:rPr>
                          <w:color w:val="000000"/>
                        </w:rPr>
                        <w:t xml:space="preserve">; 2009, Nr. </w:t>
                      </w:r>
                      <w:fldSimple w:instr="HYPERLINK https://www.e-tar.lt/portal/lt/legalAct/TAR.C9F8CAA2E2E3 \t _blank">
                        <w:r>
                          <w:rPr>
                            <w:color w:val="0000FF" w:themeColor="hyperlink"/>
                            <w:u w:val="single"/>
                          </w:rPr>
                          <w:t>10-352</w:t>
                        </w:r>
                      </w:fldSimple>
                      <w:r>
                        <w:rPr>
                          <w:color w:val="000000"/>
                        </w:rPr>
                        <w:t>) 6 straipsnio 12 punktu ir 19 straipsnio 1, 4 ir 5 dalimis, 2010 m. spalio 20 d. Europos Parlamento ir Tarybos Reglamentu (ES) Nr. 994/2010 dėl dujų tiekimo saugumo užtikrinimo priemonių, kuriuo panaikinama Tarybos direktyva 2004/67/EB (OL 2010 L 295, p. 1), (toliau – Europos Parlamento ir Tarybos Reglamentas Nr. 994/2010) ir 2010 m. birželio 24 d. Tarybos Reglamentu (ES Euratomas) Nr. 617/2010 dėl pranešimo Komisijai apie energetikos infrastruktūros investicinius projektus Europos Sąjungoje ir dėl Reglamento (EB) Nr. 736/96 panaikinimo (OL 2010 L 180, p. 10) (toliau – Tarybos Reglamentas Nr. 617/2010) bei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w:t>
                      </w:r>
                    </w:p>
                  </w:sdtContent>
                </w:sdt>
              </w:sdtContent>
            </w:sdt>
          </w:sdtContent>
        </w:sdt>
        <w:sdt>
          <w:sdtPr>
            <w:alias w:val="2 p."/>
            <w:tag w:val="part_33153be36fd04754adb58bd44c81512b"/>
            <w:lock w:val="sdtLocked"/>
            <w:richText/>
          </w:sdtPr>
          <w:sdtContent>
            <w:p w14:paraId="590CFBAA" w14:textId="77777777">
              <w:pPr>
                <w:widowControl w:val="0"/>
                <w:suppressAutoHyphens/>
                <w:ind w:firstLine="567"/>
                <w:jc w:val="both"/>
                <w:rPr>
                  <w:color w:val="000000"/>
                </w:rPr>
              </w:pPr>
              <w:sdt>
                <w:sdtPr>
                  <w:alias w:val="Numeris"/>
                  <w:tag w:val="nr_33153be36fd04754adb58bd44c81512b"/>
                  <w:lock w:val="sdtLocked"/>
                  <w:richText/>
                </w:sdtPr>
                <w:sdtContent>
                  <w:r>
                    <w:rPr>
                      <w:color w:val="000000"/>
                    </w:rPr>
                    <w:t>2</w:t>
                  </w:r>
                </w:sdtContent>
              </w:sdt>
              <w:r>
                <w:rPr>
                  <w:color w:val="000000"/>
                </w:rPr>
                <w:t>. Nurodytuoju įsakymu patvirtintas Informacijos, susijusios su energetikos veikla, teikimo valstybės institucijoms, įstaigoms ir trečiosioms šalims taisykles:</w:t>
              </w:r>
            </w:p>
            <w:sdt>
              <w:sdtPr>
                <w:alias w:val="2.1 p."/>
                <w:tag w:val="part_f6a3148d1fa74790a5ffde82d878c254"/>
                <w:lock w:val="sdtLocked"/>
                <w:richText/>
              </w:sdtPr>
              <w:sdtContent>
                <w:p w14:paraId="590CFBAB" w14:textId="77777777">
                  <w:pPr>
                    <w:widowControl w:val="0"/>
                    <w:suppressAutoHyphens/>
                    <w:ind w:firstLine="567"/>
                    <w:jc w:val="both"/>
                    <w:rPr>
                      <w:color w:val="000000"/>
                    </w:rPr>
                  </w:pPr>
                  <w:sdt>
                    <w:sdtPr>
                      <w:alias w:val="Numeris"/>
                      <w:tag w:val="nr_f6a3148d1fa74790a5ffde82d878c254"/>
                      <w:lock w:val="sdtLocked"/>
                      <w:richText/>
                    </w:sdtPr>
                    <w:sdtContent>
                      <w:r>
                        <w:rPr>
                          <w:color w:val="000000"/>
                        </w:rPr>
                        <w:t>2.1</w:t>
                      </w:r>
                    </w:sdtContent>
                  </w:sdt>
                  <w:r>
                    <w:rPr>
                      <w:color w:val="000000"/>
                    </w:rPr>
                    <w:t>. papildau šiuo 26</w:t>
                  </w:r>
                  <w:r>
                    <w:rPr>
                      <w:color w:val="000000"/>
                      <w:vertAlign w:val="superscript"/>
                    </w:rPr>
                    <w:t>1</w:t>
                  </w:r>
                  <w:r>
                    <w:rPr>
                      <w:color w:val="000000"/>
                    </w:rPr>
                    <w:t xml:space="preserve"> punktu:</w:t>
                  </w:r>
                </w:p>
                <w:sdt>
                  <w:sdtPr>
                    <w:alias w:val="citata"/>
                    <w:tag w:val="part_21e05f537cc847a8b5ae98f46c9ff240"/>
                    <w:lock w:val="sdtLocked"/>
                    <w:richText/>
                  </w:sdtPr>
                  <w:sdtContent>
                    <w:sdt>
                      <w:sdtPr>
                        <w:alias w:val="26-1 p."/>
                        <w:tag w:val="part_aeeb18753ca447e4a0f5d9d3eb4ea74e"/>
                        <w:lock w:val="sdtLocked"/>
                        <w:richText/>
                      </w:sdtPr>
                      <w:sdtContent>
                        <w:p w14:paraId="590CFBAC" w14:textId="77777777">
                          <w:pPr>
                            <w:widowControl w:val="0"/>
                            <w:suppressAutoHyphens/>
                            <w:ind w:firstLine="567"/>
                            <w:jc w:val="both"/>
                            <w:rPr>
                              <w:color w:val="000000"/>
                            </w:rPr>
                          </w:pPr>
                          <w:r>
                            <w:rPr>
                              <w:color w:val="000000"/>
                            </w:rPr>
                            <w:t>„</w:t>
                          </w:r>
                          <w:sdt>
                            <w:sdtPr>
                              <w:alias w:val="Numeris"/>
                              <w:tag w:val="nr_aeeb18753ca447e4a0f5d9d3eb4ea74e"/>
                              <w:lock w:val="sdtLocked"/>
                              <w:richText/>
                            </w:sdtPr>
                            <w:sdtContent>
                              <w:r>
                                <w:rPr>
                                  <w:color w:val="000000"/>
                                </w:rPr>
                                <w:t>26</w:t>
                              </w:r>
                              <w:r>
                                <w:rPr>
                                  <w:color w:val="000000"/>
                                  <w:vertAlign w:val="superscript"/>
                                </w:rPr>
                                <w:t>1</w:t>
                              </w:r>
                            </w:sdtContent>
                          </w:sdt>
                          <w:r>
                            <w:rPr>
                              <w:color w:val="000000"/>
                            </w:rPr>
                            <w:t>. Įmonė, kaip apibrėžta Tarybos Reglamento Nr. 617/2010 2 straipsnio 9 punkte, iki ataskaitinių metų birželio 1 d. teikia Energetikos ministerijai informaciją apie energetikos infrastruktūros investicinius projektus. Informacija teikiama vadovaujantis Tarybos Reglamente Nr. 617/2010 nustatytais reikalavimais.</w:t>
                          </w:r>
                        </w:p>
                        <w:p w14:paraId="590CFBAD" w14:textId="77777777">
                          <w:pPr>
                            <w:widowControl w:val="0"/>
                            <w:suppressAutoHyphens/>
                            <w:ind w:firstLine="567"/>
                            <w:jc w:val="both"/>
                            <w:rPr>
                              <w:color w:val="000000"/>
                            </w:rPr>
                          </w:pPr>
                          <w:r>
                            <w:rPr>
                              <w:color w:val="000000"/>
                            </w:rPr>
                            <w:t>Duomenys apie investicinius projektus teikiami vadovaujantis 2010 m. rugsėjo 21 d. Komisijos Reglamento (ES, Euratomas) Nr. 833/2010, kuriuo įgyvendinamas Tarybos Reglamentas Nr. 617/2010 dėl pranešimo Komisijai apie energetikos infrastruktūros investicinius projektus Europos Sąjungoje, priede patvirtintomis formomis.“;</w:t>
                          </w:r>
                        </w:p>
                      </w:sdtContent>
                    </w:sdt>
                  </w:sdtContent>
                </w:sdt>
              </w:sdtContent>
            </w:sdt>
            <w:sdt>
              <w:sdtPr>
                <w:alias w:val="2.2 p."/>
                <w:tag w:val="part_0f5beb62911b46f98162c985f55bcf25"/>
                <w:lock w:val="sdtLocked"/>
                <w:richText/>
              </w:sdtPr>
              <w:sdtContent>
                <w:p w14:paraId="590CFBAE" w14:textId="77777777">
                  <w:pPr>
                    <w:widowControl w:val="0"/>
                    <w:suppressAutoHyphens/>
                    <w:ind w:firstLine="567"/>
                    <w:jc w:val="both"/>
                    <w:rPr>
                      <w:color w:val="000000"/>
                    </w:rPr>
                  </w:pPr>
                  <w:sdt>
                    <w:sdtPr>
                      <w:alias w:val="Numeris"/>
                      <w:tag w:val="nr_0f5beb62911b46f98162c985f55bcf25"/>
                      <w:lock w:val="sdtLocked"/>
                      <w:richText/>
                    </w:sdtPr>
                    <w:sdtContent>
                      <w:r>
                        <w:rPr>
                          <w:color w:val="000000"/>
                        </w:rPr>
                        <w:t>2.2</w:t>
                      </w:r>
                    </w:sdtContent>
                  </w:sdt>
                  <w:r>
                    <w:rPr>
                      <w:color w:val="000000"/>
                    </w:rPr>
                    <w:t>. papildau šiuo 26</w:t>
                  </w:r>
                  <w:r>
                    <w:rPr>
                      <w:color w:val="000000"/>
                      <w:vertAlign w:val="superscript"/>
                    </w:rPr>
                    <w:t>2</w:t>
                  </w:r>
                  <w:r>
                    <w:rPr>
                      <w:color w:val="000000"/>
                    </w:rPr>
                    <w:t xml:space="preserve"> punktu:</w:t>
                  </w:r>
                </w:p>
                <w:sdt>
                  <w:sdtPr>
                    <w:alias w:val="citata"/>
                    <w:tag w:val="part_6f34d9b7954b4af9a62475451251211a"/>
                    <w:lock w:val="sdtLocked"/>
                    <w:richText/>
                  </w:sdtPr>
                  <w:sdtContent>
                    <w:sdt>
                      <w:sdtPr>
                        <w:alias w:val="26-2 p."/>
                        <w:tag w:val="part_8faf61e27c20414d9f8abcc73e2eec15"/>
                        <w:lock w:val="sdtLocked"/>
                        <w:richText/>
                      </w:sdtPr>
                      <w:sdtContent>
                        <w:p w14:paraId="590CFBAF" w14:textId="77777777">
                          <w:pPr>
                            <w:widowControl w:val="0"/>
                            <w:suppressAutoHyphens/>
                            <w:ind w:firstLine="567"/>
                            <w:jc w:val="both"/>
                            <w:rPr>
                              <w:color w:val="000000"/>
                            </w:rPr>
                          </w:pPr>
                          <w:r>
                            <w:rPr>
                              <w:color w:val="000000"/>
                            </w:rPr>
                            <w:t>„</w:t>
                          </w:r>
                          <w:sdt>
                            <w:sdtPr>
                              <w:alias w:val="Numeris"/>
                              <w:tag w:val="nr_8faf61e27c20414d9f8abcc73e2eec15"/>
                              <w:lock w:val="sdtLocked"/>
                              <w:richText/>
                            </w:sdtPr>
                            <w:sdtContent>
                              <w:r>
                                <w:rPr>
                                  <w:color w:val="000000"/>
                                </w:rPr>
                                <w:t>26</w:t>
                              </w:r>
                              <w:r>
                                <w:rPr>
                                  <w:color w:val="000000"/>
                                  <w:vertAlign w:val="superscript"/>
                                </w:rPr>
                                <w:t>2</w:t>
                              </w:r>
                            </w:sdtContent>
                          </w:sdt>
                          <w:r>
                            <w:rPr>
                              <w:color w:val="000000"/>
                            </w:rPr>
                            <w:t>. Įvedus ekstremalią energetikos padėtį,</w:t>
                          </w:r>
                          <w:r>
                            <w:rPr>
                              <w:b/>
                              <w:bCs/>
                              <w:color w:val="000000"/>
                            </w:rPr>
                            <w:t xml:space="preserve"> </w:t>
                          </w:r>
                          <w:r>
                            <w:rPr>
                              <w:color w:val="000000"/>
                            </w:rPr>
                            <w:t>gamtinių dujų įmonės kasdien Energetikos ministerijai teikia informaciją, nurodytą Europos Parlamento ir Tarybos Reglamento Nr. 994/2010 13 straipsnio 2 dalyje.“;</w:t>
                          </w:r>
                        </w:p>
                      </w:sdtContent>
                    </w:sdt>
                  </w:sdtContent>
                </w:sdt>
              </w:sdtContent>
            </w:sdt>
            <w:sdt>
              <w:sdtPr>
                <w:alias w:val="2.3 p."/>
                <w:tag w:val="part_3a00132942f24535b488607e5f6523b1"/>
                <w:lock w:val="sdtLocked"/>
                <w:richText/>
              </w:sdtPr>
              <w:sdtContent>
                <w:p w14:paraId="590CFBB0" w14:textId="77777777">
                  <w:pPr>
                    <w:widowControl w:val="0"/>
                    <w:suppressAutoHyphens/>
                    <w:ind w:firstLine="567"/>
                    <w:jc w:val="both"/>
                    <w:rPr>
                      <w:color w:val="000000"/>
                    </w:rPr>
                  </w:pPr>
                  <w:sdt>
                    <w:sdtPr>
                      <w:alias w:val="Numeris"/>
                      <w:tag w:val="nr_3a00132942f24535b488607e5f6523b1"/>
                      <w:lock w:val="sdtLocked"/>
                      <w:richText/>
                    </w:sdtPr>
                    <w:sdtContent>
                      <w:r>
                        <w:rPr>
                          <w:color w:val="000000"/>
                        </w:rPr>
                        <w:t>2.3</w:t>
                      </w:r>
                    </w:sdtContent>
                  </w:sdt>
                  <w:r>
                    <w:rPr>
                      <w:color w:val="000000"/>
                    </w:rPr>
                    <w:t>. papildau šiuo 26</w:t>
                  </w:r>
                  <w:r>
                    <w:rPr>
                      <w:color w:val="000000"/>
                      <w:vertAlign w:val="superscript"/>
                    </w:rPr>
                    <w:t>3</w:t>
                  </w:r>
                  <w:r>
                    <w:rPr>
                      <w:color w:val="000000"/>
                    </w:rPr>
                    <w:t xml:space="preserve"> punktu:</w:t>
                  </w:r>
                </w:p>
                <w:sdt>
                  <w:sdtPr>
                    <w:alias w:val="citata"/>
                    <w:tag w:val="part_b646ba50257b4853a1ff23923b9c5fb2"/>
                    <w:lock w:val="sdtLocked"/>
                    <w:richText/>
                  </w:sdtPr>
                  <w:sdtContent>
                    <w:sdt>
                      <w:sdtPr>
                        <w:alias w:val="26-3 p."/>
                        <w:tag w:val="part_7c82b49e5510494c9f4ddf80d2b0e5ac"/>
                        <w:lock w:val="sdtLocked"/>
                        <w:richText/>
                      </w:sdtPr>
                      <w:sdtContent>
                        <w:p w14:paraId="590CFBB1" w14:textId="77777777">
                          <w:pPr>
                            <w:widowControl w:val="0"/>
                            <w:suppressAutoHyphens/>
                            <w:ind w:firstLine="567"/>
                            <w:jc w:val="both"/>
                            <w:rPr>
                              <w:color w:val="000000"/>
                            </w:rPr>
                          </w:pPr>
                          <w:r>
                            <w:rPr>
                              <w:color w:val="000000"/>
                            </w:rPr>
                            <w:t>„</w:t>
                          </w:r>
                          <w:sdt>
                            <w:sdtPr>
                              <w:alias w:val="Numeris"/>
                              <w:tag w:val="nr_7c82b49e5510494c9f4ddf80d2b0e5ac"/>
                              <w:lock w:val="sdtLocked"/>
                              <w:richText/>
                            </w:sdtPr>
                            <w:sdtContent>
                              <w:r>
                                <w:rPr>
                                  <w:color w:val="000000"/>
                                </w:rPr>
                                <w:t>26</w:t>
                              </w:r>
                              <w:r>
                                <w:rPr>
                                  <w:color w:val="000000"/>
                                  <w:vertAlign w:val="superscript"/>
                                </w:rPr>
                                <w:t>3</w:t>
                              </w:r>
                            </w:sdtContent>
                          </w:sdt>
                          <w:r>
                            <w:rPr>
                              <w:color w:val="000000"/>
                            </w:rPr>
                            <w:t>. Naujų sutarčių sudarymo arba esamų sutarčių pakeitimo atvejais gamtinių dujų įmonės apie su trečiųjų valstybių tiekėjais sudarytas sutartis, kurių trukmė ilgesnė nei vieni metai, Energetikos ministerijai teikia informaciją pagal Europos Parlamento ir Tarybos Reglamento Nr. 994/2010 13 straipsnio 6 dalį.“;</w:t>
                          </w:r>
                        </w:p>
                      </w:sdtContent>
                    </w:sdt>
                  </w:sdtContent>
                </w:sdt>
              </w:sdtContent>
            </w:sdt>
            <w:sdt>
              <w:sdtPr>
                <w:alias w:val="2.4 p."/>
                <w:tag w:val="part_a80b2fb34c5940cabb83b3c03683d22d"/>
                <w:lock w:val="sdtLocked"/>
                <w:richText/>
              </w:sdtPr>
              <w:sdtContent>
                <w:p w14:paraId="590CFBB2" w14:textId="77777777">
                  <w:pPr>
                    <w:widowControl w:val="0"/>
                    <w:suppressAutoHyphens/>
                    <w:ind w:firstLine="567"/>
                    <w:jc w:val="both"/>
                    <w:rPr>
                      <w:color w:val="000000"/>
                    </w:rPr>
                  </w:pPr>
                  <w:sdt>
                    <w:sdtPr>
                      <w:alias w:val="Numeris"/>
                      <w:tag w:val="nr_a80b2fb34c5940cabb83b3c03683d22d"/>
                      <w:lock w:val="sdtLocked"/>
                      <w:richText/>
                    </w:sdtPr>
                    <w:sdtContent>
                      <w:r>
                        <w:rPr>
                          <w:color w:val="000000"/>
                        </w:rPr>
                        <w:t>2.4</w:t>
                      </w:r>
                    </w:sdtContent>
                  </w:sdt>
                  <w:r>
                    <w:rPr>
                      <w:color w:val="000000"/>
                    </w:rPr>
                    <w:t>. papildau šiuo 30</w:t>
                  </w:r>
                  <w:r>
                    <w:rPr>
                      <w:color w:val="000000"/>
                      <w:vertAlign w:val="superscript"/>
                    </w:rPr>
                    <w:t>1</w:t>
                  </w:r>
                  <w:r>
                    <w:rPr>
                      <w:color w:val="000000"/>
                    </w:rPr>
                    <w:t xml:space="preserve"> punktu:</w:t>
                  </w:r>
                </w:p>
                <w:sdt>
                  <w:sdtPr>
                    <w:alias w:val="citata"/>
                    <w:tag w:val="part_d831c6f5aa404d74b71e24a87a44f63d"/>
                    <w:lock w:val="sdtLocked"/>
                    <w:richText/>
                  </w:sdtPr>
                  <w:sdtContent>
                    <w:sdt>
                      <w:sdtPr>
                        <w:alias w:val="30-1 p."/>
                        <w:tag w:val="part_140be0d33e9e4ae681a5f6065e3bd9ba"/>
                        <w:lock w:val="sdtLocked"/>
                        <w:richText/>
                      </w:sdtPr>
                      <w:sdtContent>
                        <w:p w14:paraId="590CFBB3" w14:textId="77777777">
                          <w:pPr>
                            <w:widowControl w:val="0"/>
                            <w:suppressAutoHyphens/>
                            <w:ind w:firstLine="567"/>
                            <w:jc w:val="both"/>
                            <w:rPr>
                              <w:color w:val="000000"/>
                            </w:rPr>
                          </w:pPr>
                          <w:r>
                            <w:rPr>
                              <w:color w:val="000000"/>
                            </w:rPr>
                            <w:t>„</w:t>
                          </w:r>
                          <w:sdt>
                            <w:sdtPr>
                              <w:alias w:val="Numeris"/>
                              <w:tag w:val="nr_140be0d33e9e4ae681a5f6065e3bd9ba"/>
                              <w:lock w:val="sdtLocked"/>
                              <w:richText/>
                            </w:sdtPr>
                            <w:sdtContent>
                              <w:r>
                                <w:rPr>
                                  <w:color w:val="000000"/>
                                </w:rPr>
                                <w:t>30</w:t>
                              </w:r>
                              <w:r>
                                <w:rPr>
                                  <w:color w:val="000000"/>
                                  <w:vertAlign w:val="superscript"/>
                                </w:rPr>
                                <w:t>1</w:t>
                              </w:r>
                            </w:sdtContent>
                          </w:sdt>
                          <w:r>
                            <w:rPr>
                              <w:color w:val="000000"/>
                            </w:rPr>
                            <w:t>. Energetikos ministerija, sukaupusi duomenis ir informaciją, nurodytą Taisyklių 26</w:t>
                          </w:r>
                          <w:r>
                            <w:rPr>
                              <w:color w:val="000000"/>
                              <w:vertAlign w:val="superscript"/>
                            </w:rPr>
                            <w:t>1</w:t>
                          </w:r>
                          <w:r>
                            <w:rPr>
                              <w:color w:val="000000"/>
                            </w:rPr>
                            <w:t xml:space="preserve"> punkte, iki ataskaitinių metų liepos 31 d. pateikia ją Europos Komisijai.“;</w:t>
                          </w:r>
                        </w:p>
                      </w:sdtContent>
                    </w:sdt>
                  </w:sdtContent>
                </w:sdt>
              </w:sdtContent>
            </w:sdt>
            <w:sdt>
              <w:sdtPr>
                <w:alias w:val="2.5 p."/>
                <w:tag w:val="part_451d97f6a0cf47dbb28ff984637efc07"/>
                <w:lock w:val="sdtLocked"/>
                <w:richText/>
              </w:sdtPr>
              <w:sdtContent>
                <w:p w14:paraId="590CFBB6" w14:textId="29679872">
                  <w:pPr>
                    <w:keepNext/>
                    <w:keepLines/>
                    <w:pageBreakBefore/>
                    <w:widowControl w:val="0"/>
                    <w:suppressAutoHyphens/>
                    <w:ind w:firstLine="567"/>
                    <w:jc w:val="both"/>
                    <w:rPr>
                      <w:color w:val="000000"/>
                    </w:rPr>
                  </w:pPr>
                  <w:sdt>
                    <w:sdtPr>
                      <w:alias w:val="Numeris"/>
                      <w:tag w:val="nr_451d97f6a0cf47dbb28ff984637efc07"/>
                      <w:lock w:val="sdtLocked"/>
                      <w:richText/>
                    </w:sdtPr>
                    <w:sdtContent>
                      <w:r>
                        <w:rPr>
                          <w:color w:val="000000"/>
                        </w:rPr>
                        <w:t>2.5</w:t>
                      </w:r>
                    </w:sdtContent>
                  </w:sdt>
                  <w:r>
                    <w:rPr>
                      <w:color w:val="000000"/>
                    </w:rPr>
                    <w:t>. išbraukiu 34 punkte žodžius „ir atspaudais“.</w:t>
                  </w:r>
                </w:p>
                <w:p w14:paraId="6FA06F66" w14:textId="77777777">
                  <w:pPr>
                    <w:widowControl w:val="0"/>
                    <w:tabs>
                      <w:tab w:val="right" w:pos="9071"/>
                    </w:tabs>
                    <w:suppressAutoHyphens/>
                  </w:pPr>
                </w:p>
                <w:p w14:paraId="0D3A7774" w14:textId="77777777">
                  <w:pPr>
                    <w:widowControl w:val="0"/>
                    <w:tabs>
                      <w:tab w:val="right" w:pos="9071"/>
                    </w:tabs>
                    <w:suppressAutoHyphens/>
                  </w:pPr>
                </w:p>
                <w:p w14:paraId="17055903" w14:textId="77777777">
                  <w:pPr>
                    <w:widowControl w:val="0"/>
                    <w:tabs>
                      <w:tab w:val="right" w:pos="9071"/>
                    </w:tabs>
                    <w:suppressAutoHyphens/>
                  </w:pPr>
                </w:p>
              </w:sdtContent>
            </w:sdt>
          </w:sdtContent>
        </w:sdt>
        <w:sdt>
          <w:sdtPr>
            <w:alias w:val="signatura"/>
            <w:tag w:val="part_09822145ef594a9f87e811c02e2f21e4"/>
            <w:lock w:val="sdtLocked"/>
            <w:richText/>
          </w:sdtPr>
          <w:sdtContent>
            <w:p w14:paraId="590CFBBA" w14:textId="78DE8FAA">
              <w:pPr>
                <w:widowControl w:val="0"/>
                <w:tabs>
                  <w:tab w:val="right" w:pos="9071"/>
                </w:tabs>
                <w:suppressAutoHyphens/>
                <w:rPr>
                  <w:caps/>
                  <w:color w:val="000000"/>
                </w:rPr>
              </w:pPr>
              <w:r>
                <w:rPr>
                  <w:caps/>
                  <w:color w:val="000000"/>
                </w:rPr>
                <w:t>Energetikos ministras</w:t>
                <w:tab/>
                <w:t>Arvydas Sekmokas</w:t>
              </w:r>
            </w:p>
          </w:sdtContent>
        </w:sdt>
      </w:sdtContent>
    </w:sdt>
    <w:sectPr>
      <w:headerReference w:type="even" r:id="rId13"/>
      <w:headerReference w:type="default" r:id="rId14"/>
      <w:footerReference w:type="even" r:id="rId15"/>
      <w:footerReference w:type="default" r:id="rId16"/>
      <w:headerReference w:type="first" r:id="rId17"/>
      <w:footerReference w:type="first" r:id="rId18"/>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0CFBBE" w14:textId="77777777">
      <w:r>
        <w:separator/>
      </w:r>
    </w:p>
  </w:endnote>
  <w:endnote w:type="continuationSeparator" w:id="0">
    <w:p w14:paraId="590CFBB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CFBC2"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CFBC3"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CFBC5"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0CFBBC" w14:textId="77777777">
      <w:r>
        <w:separator/>
      </w:r>
    </w:p>
  </w:footnote>
  <w:footnote w:type="continuationSeparator" w:id="0">
    <w:p w14:paraId="590CFBBD"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CFBC0"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CFBC1"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CFBC4" w14:textId="77777777">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758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90CFB9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microsoft.com/office/2007/relationships/stylesWithEffects" Target="stylesWithEffect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dcb5d639c64cac8202e57e1f01a7f4" PartId="40a2a8cd314b41c786cb42b1dc67eee3">
    <Part Type="preambule" DocPartId="0d05a98e8e0f4888af5f06838bae988e" PartId="3d469a3916d342ef8b2c1f44e7660660"/>
    <Part Type="punktas" Nr="1" Abbr="1 p." DocPartId="03b253cfdc154b82979dd80eb564f780" PartId="5559ceb2bd5b4b8890c24f95edbe88a1">
      <Part Type="citata" DocPartId="adb365bf25dc4addb21aed940d00c57b" PartId="2decc702be9a42028cf0c0bc6f467f51">
        <Part Type="pastraipa" DocPartId="70d1fe39823142b8b21304be50250693" PartId="23d114ef5b3e4908910fbaf2524c9a5b"/>
      </Part>
    </Part>
    <Part Type="punktas" Nr="2" Abbr="2 p." DocPartId="fb801b3ab3b04e3081e458c5637792bd" PartId="33153be36fd04754adb58bd44c81512b">
      <Part Type="punktas" Nr="2.1" Abbr="2.1 p." DocPartId="85b4fa4f46af42d190ea03510bf52d6b" PartId="f6a3148d1fa74790a5ffde82d878c254">
        <Part Type="citata" DocPartId="61b3da9850fb488bab6c2afab2323588" PartId="21e05f537cc847a8b5ae98f46c9ff240">
          <Part Type="punktas" Nr="26-1" Abbr="26-1 p." DocPartId="3a047b434aa84d9d90b7b55a38235c3c" PartId="aeeb18753ca447e4a0f5d9d3eb4ea74e"/>
        </Part>
      </Part>
      <Part Type="punktas" Nr="2.2" Abbr="2.2 p." DocPartId="f646941f9081456daf69e6b7ce4c78e0" PartId="0f5beb62911b46f98162c985f55bcf25">
        <Part Type="citata" DocPartId="bef7daee95ef4f7685ec2fd45c0ac62e" PartId="6f34d9b7954b4af9a62475451251211a">
          <Part Type="punktas" Nr="26-2" Abbr="26-2 p." DocPartId="eb554a4af91d484fbbea9e27a2261b00" PartId="8faf61e27c20414d9f8abcc73e2eec15"/>
        </Part>
      </Part>
      <Part Type="punktas" Nr="2.3" Abbr="2.3 p." DocPartId="41aedc3264fc442da89a908366102c5b" PartId="3a00132942f24535b488607e5f6523b1">
        <Part Type="citata" DocPartId="c9d39f86779043998a9c87a6be5b473f" PartId="b646ba50257b4853a1ff23923b9c5fb2">
          <Part Type="punktas" Nr="26-3" Abbr="26-3 p." DocPartId="4623f9ab9dce44b3b96296824f72ef0f" PartId="7c82b49e5510494c9f4ddf80d2b0e5ac"/>
        </Part>
      </Part>
      <Part Type="punktas" Nr="2.4" Abbr="2.4 p." DocPartId="9101a5d19bdd415f904c58f832e0620a" PartId="a80b2fb34c5940cabb83b3c03683d22d">
        <Part Type="citata" DocPartId="11bf75ecb82e48dbbfa8f165607037f9" PartId="d831c6f5aa404d74b71e24a87a44f63d">
          <Part Type="punktas" Nr="30-1" Abbr="30-1 p." DocPartId="41f8b6c58587411ea686738f52a654fa" PartId="140be0d33e9e4ae681a5f6065e3bd9ba"/>
        </Part>
      </Part>
      <Part Type="punktas" Nr="2.5" Abbr="2.5 p." DocPartId="7997250e2673422d8a2d5feda2c1922d" PartId="451d97f6a0cf47dbb28ff984637efc07"/>
    </Part>
    <Part Type="signatura" DocPartId="f63a7fb94c8a4f1298608f49b27af764" PartId="09822145ef594a9f87e811c02e2f21e4"/>
  </Part>
</Parts>
</file>

<file path=customXml/itemProps1.xml><?xml version="1.0" encoding="utf-8"?>
<ds:datastoreItem xmlns:ds="http://schemas.openxmlformats.org/officeDocument/2006/customXml" ds:itemID="{DC116914-FEF9-4DF0-A9EC-38F015354D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494</Words>
  <Characters>3214</Characters>
  <Application>Microsoft Office Word</Application>
  <DocSecurity>4</DocSecurity>
  <Lines>63</Lines>
  <Paragraphs>25</Paragraphs>
  <ScaleCrop>false</ScaleCrop>
  <Company/>
  <LinksUpToDate>false</LinksUpToDate>
  <CharactersWithSpaces>3683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2015-06-29T16:55:00Z</dcterms:created>
  <dc:creator>Rima</dc:creator>
  <lastModifiedBy>Adlib User</lastModifiedBy>
  <dcterms:modified xsi:type="dcterms:W3CDTF">2015-06-29T16:55:00Z</dcterms:modified>
  <revision>2</revision>
  <dc:title>LIETUVOS RESPUBLIKOS ENERGETIKOS MINISTRO</dc:title>
</coreProperties>
</file>