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BAUDŽIAMOJO PROCESO KODEKSO 91, 94, 151, 198, 199, 212, 216, 238, 254, 279, 283, 303, 327, 342, 357, 361, 421 STRAIPSNIŲ PAKEITIMO IR PAPILDYMO IR KODEKSO PAPILDYMO 170</w:t>
      </w:r>
      <w:r>
        <w:rPr>
          <w:b/>
          <w:bCs/>
          <w:caps/>
          <w:color w:val="000000"/>
          <w:vertAlign w:val="superscript"/>
        </w:rPr>
        <w:t>1</w:t>
      </w:r>
      <w:r>
        <w:rPr>
          <w:b/>
          <w:bCs/>
          <w:caps/>
          <w:color w:val="000000"/>
        </w:rPr>
        <w:t>, 199</w:t>
      </w:r>
      <w:r>
        <w:rPr>
          <w:b/>
          <w:bCs/>
          <w:caps/>
          <w:color w:val="000000"/>
          <w:vertAlign w:val="superscript"/>
        </w:rPr>
        <w:t>1</w:t>
      </w:r>
      <w:r>
        <w:rPr>
          <w:b/>
          <w:bCs/>
          <w:caps/>
          <w:color w:val="000000"/>
        </w:rPr>
        <w:t xml:space="preserve"> STRAIPSNIAIS ĮSTATYMAS</w:t>
      </w:r>
    </w:p>
    <w:p>
      <w:pPr>
        <w:widowControl w:val="0"/>
        <w:suppressAutoHyphens/>
        <w:jc w:val="center"/>
        <w:rPr>
          <w:color w:val="000000"/>
        </w:rPr>
      </w:pPr>
    </w:p>
    <w:p>
      <w:pPr>
        <w:keepLines/>
        <w:widowControl w:val="0"/>
        <w:suppressAutoHyphens/>
        <w:jc w:val="center"/>
        <w:rPr>
          <w:color w:val="000000"/>
        </w:rPr>
      </w:pPr>
      <w:r>
        <w:rPr>
          <w:color w:val="000000"/>
        </w:rPr>
        <w:t>2010 m. gruodžio 2 d. Nr. XI-1200</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 xml:space="preserve">; 2003, Nr. </w:t>
      </w:r>
      <w:fldSimple w:instr="HYPERLINK https://www.e-tar.lt/portal/lt/legalAct/TAR.A892013CE410 \t _blank">
        <w:r>
          <w:rPr>
            <w:color w:val="0000FF" w:themeColor="hyperlink"/>
            <w:u w:val="single"/>
          </w:rPr>
          <w:t>38-1734</w:t>
        </w:r>
      </w:fldSimple>
      <w:r>
        <w:rPr>
          <w:color w:val="000000"/>
        </w:rPr>
        <w:t xml:space="preserve">, Nr. </w:t>
      </w:r>
      <w:fldSimple w:instr="HYPERLINK https://www.e-tar.lt/portal/lt/legalAct/TAR.86A7362C164A \t _blank">
        <w:r>
          <w:rPr>
            <w:color w:val="0000FF" w:themeColor="hyperlink"/>
            <w:u w:val="single"/>
          </w:rPr>
          <w:t>68-3070</w:t>
        </w:r>
      </w:fldSimple>
      <w:r>
        <w:rPr>
          <w:color w:val="000000"/>
        </w:rPr>
        <w:t xml:space="preserve">; 2004, Nr. </w:t>
      </w:r>
      <w:fldSimple w:instr="HYPERLINK https://www.e-tar.lt/portal/lt/legalAct/TAR.178605FBA01E \t _blank">
        <w:r>
          <w:rPr>
            <w:color w:val="0000FF" w:themeColor="hyperlink"/>
            <w:u w:val="single"/>
          </w:rPr>
          <w:t>115-4276</w:t>
        </w:r>
      </w:fldSimple>
      <w:r>
        <w:rPr>
          <w:color w:val="000000"/>
        </w:rPr>
        <w:t xml:space="preserve">; </w:t>
      </w:r>
    </w:p>
    <w:p>
      <w:pPr>
        <w:keepLines/>
        <w:widowControl w:val="0"/>
        <w:suppressAutoHyphens/>
        <w:jc w:val="center"/>
        <w:rPr>
          <w:b/>
          <w:bCs/>
          <w:color w:val="000000"/>
        </w:rPr>
      </w:pPr>
      <w:r>
        <w:rPr>
          <w:color w:val="000000"/>
        </w:rPr>
        <w:t>2005, Nr. 18-575; 2007, Nr. 81-3312, Nr. 140-5748; 2010, Nr. 113-5742)</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91 straipsnio pakeitimas</w:t>
      </w:r>
    </w:p>
    <w:p>
      <w:pPr>
        <w:widowControl w:val="0"/>
        <w:suppressAutoHyphens/>
        <w:ind w:firstLine="567"/>
        <w:jc w:val="both"/>
        <w:rPr>
          <w:color w:val="000000"/>
        </w:rPr>
      </w:pPr>
      <w:r>
        <w:rPr>
          <w:color w:val="000000"/>
        </w:rPr>
        <w:t>91 straipsnyje po žodžių „ar priemonėmis“ įrašyti žodžius „nusikalstamos veikos rezultatais“ ir šį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91</w:t>
      </w:r>
      <w:r>
        <w:rPr>
          <w:b/>
          <w:bCs/>
          <w:color w:val="000000"/>
        </w:rPr>
        <w:t xml:space="preserve"> straipsnis. </w:t>
      </w:r>
      <w:r>
        <w:rPr>
          <w:b/>
          <w:bCs/>
          <w:color w:val="000000"/>
        </w:rPr>
        <w:t>Daiktai, turintys reikšmės nusikalstamai veikai tirti ir nagrinėti</w:t>
      </w:r>
    </w:p>
    <w:p>
      <w:pPr>
        <w:widowControl w:val="0"/>
        <w:suppressAutoHyphens/>
        <w:ind w:firstLine="567"/>
        <w:jc w:val="both"/>
        <w:rPr>
          <w:color w:val="000000"/>
        </w:rPr>
      </w:pPr>
      <w:r>
        <w:rPr>
          <w:color w:val="000000"/>
        </w:rPr>
        <w:t>Daiktais, turinčiais reikšmės nusikalstamai veikai tirti ir nagrinėti, laikomi materialūs objektai, kurie buvo nusikalstamos veikos padarymo įrankiais ar priemonėmis, nusikalstamos veikos rezultatais arba ant kurių išliko nusikalstamos veikos pėdsakų, arba kurie buvo kaltininko nusikalstamų veikų objektais, taip pat visi kiti daiktai, kurie gali būti priemonėmis nusikalstamai veikai atskleisti ir kaltininkams nustatyti arba kaltinimui paneigti ar atsakomybei palengvinti.“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94 straipsnio pakeitimas ir papildymas</w:t>
      </w:r>
    </w:p>
    <w:p>
      <w:pPr>
        <w:widowControl w:val="0"/>
        <w:suppressAutoHyphens/>
        <w:ind w:firstLine="567"/>
        <w:jc w:val="both"/>
        <w:rPr>
          <w:color w:val="000000"/>
        </w:rPr>
      </w:pPr>
      <w:r>
        <w:rPr>
          <w:color w:val="000000"/>
        </w:rPr>
        <w:t>1</w:t>
      </w:r>
      <w:r>
        <w:rPr>
          <w:color w:val="000000"/>
        </w:rPr>
        <w:t>. Pakeisti 94 straipsnio 1 dalies 1 punktą ir jį išdėstyti taip:</w:t>
      </w:r>
    </w:p>
    <w:p>
      <w:pPr>
        <w:widowControl w:val="0"/>
        <w:suppressAutoHyphens/>
        <w:ind w:firstLine="567"/>
        <w:jc w:val="both"/>
        <w:rPr>
          <w:color w:val="000000"/>
        </w:rPr>
      </w:pPr>
      <w:r>
        <w:rPr>
          <w:color w:val="000000"/>
        </w:rPr>
        <w:t>„</w:t>
      </w:r>
      <w:r>
        <w:rPr>
          <w:color w:val="000000"/>
        </w:rPr>
        <w:t>1</w:t>
      </w:r>
      <w:r>
        <w:rPr>
          <w:color w:val="000000"/>
        </w:rPr>
        <w:t>) Lietuvos Respublikos baudžiamojo kodekso 72 ir 72</w:t>
      </w:r>
      <w:r>
        <w:rPr>
          <w:color w:val="000000"/>
          <w:vertAlign w:val="superscript"/>
        </w:rPr>
        <w:t>3</w:t>
      </w:r>
      <w:r>
        <w:rPr>
          <w:color w:val="000000"/>
        </w:rPr>
        <w:t xml:space="preserve"> straipsniuose nurodytas turtas konfiskuojamas;“.</w:t>
      </w:r>
    </w:p>
    <w:p>
      <w:pPr>
        <w:widowControl w:val="0"/>
        <w:suppressAutoHyphens/>
        <w:ind w:firstLine="567"/>
        <w:jc w:val="both"/>
        <w:rPr>
          <w:color w:val="000000"/>
        </w:rPr>
      </w:pPr>
      <w:r>
        <w:rPr>
          <w:color w:val="000000"/>
        </w:rPr>
        <w:t>2</w:t>
      </w:r>
      <w:r>
        <w:rPr>
          <w:color w:val="000000"/>
        </w:rPr>
        <w:t>. Papildyti 94 straipsnį nauja 3 dalimi:</w:t>
      </w:r>
    </w:p>
    <w:p>
      <w:pPr>
        <w:widowControl w:val="0"/>
        <w:suppressAutoHyphens/>
        <w:ind w:firstLine="567"/>
        <w:jc w:val="both"/>
        <w:rPr>
          <w:color w:val="000000"/>
        </w:rPr>
      </w:pPr>
      <w:r>
        <w:rPr>
          <w:color w:val="000000"/>
        </w:rPr>
        <w:t>„</w:t>
      </w:r>
      <w:r>
        <w:rPr>
          <w:color w:val="000000"/>
        </w:rPr>
        <w:t>3</w:t>
      </w:r>
      <w:r>
        <w:rPr>
          <w:color w:val="000000"/>
        </w:rPr>
        <w:t>. Jeigu nutraukiant ikiteisminį tyrimą turi būti išspręstas Lietuvos Respublikos baudžiamojo kodekso 72 ar 72</w:t>
      </w:r>
      <w:r>
        <w:rPr>
          <w:color w:val="000000"/>
          <w:vertAlign w:val="superscript"/>
        </w:rPr>
        <w:t>3</w:t>
      </w:r>
      <w:r>
        <w:rPr>
          <w:color w:val="000000"/>
        </w:rPr>
        <w:t xml:space="preserve"> straipsnyje nurodyto turto konfiskavimo klausimas, ikiteisminis tyrimas nutraukiamas ikiteisminio tyrimo teisėjo sprendimu, kuriuo patvirtinamas prokuroro nutarimas nutraukti ikiteisminį tyrimą. Sprendžiant turto konfiskavimo arba išplėstinio turto konfiskavimo klausimą, rengiamas posėdis, į kurį turi būti kviečiamas prokuroras, asmuo, dėl kurio turto konfiskavimo priimtas nutarimas, šio asmens atstovas. Ikiteisminio tyrimo teisėjo sprendimu į posėdį gali būti kviečiami ir kiti asmenys. Prokuroro ir asmens, dėl kurio turto konfiskavimo priimtas nutarimas, atstovo dalyvavimas tokiame posėdyje būtinas. Ikiteisminio tyrimo teisėjo sprendimas gali būti skundžiamas šio Kodekso X dalyje nustatyta tvarka.“</w:t>
      </w:r>
    </w:p>
    <w:p>
      <w:pPr>
        <w:widowControl w:val="0"/>
        <w:suppressAutoHyphens/>
        <w:ind w:firstLine="567"/>
        <w:jc w:val="both"/>
        <w:rPr>
          <w:color w:val="000000"/>
        </w:rPr>
      </w:pPr>
      <w:r>
        <w:rPr>
          <w:color w:val="000000"/>
        </w:rPr>
        <w:t>3</w:t>
      </w:r>
      <w:r>
        <w:rPr>
          <w:color w:val="000000"/>
        </w:rPr>
        <w:t>. 94 straipsnio 3 dalį laikyti 4 dalimi.</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151 straipsnio 1 dalies ir 2 dalies 1 punkto pakeitimas</w:t>
      </w:r>
    </w:p>
    <w:p>
      <w:pPr>
        <w:widowControl w:val="0"/>
        <w:suppressAutoHyphens/>
        <w:ind w:firstLine="567"/>
        <w:jc w:val="both"/>
        <w:rPr>
          <w:color w:val="000000"/>
        </w:rPr>
      </w:pPr>
      <w:r>
        <w:rPr>
          <w:color w:val="000000"/>
        </w:rPr>
        <w:t>1</w:t>
      </w:r>
      <w:r>
        <w:rPr>
          <w:color w:val="000000"/>
        </w:rPr>
        <w:t>. Pakeisti 151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Civiliniam ieškiniui, galimam turto konfiskavimui arba išplėstiniam turto konfiskavimui užtikrinti prokuroro nutarimu įtariamajam ar pagal įstatymus materialiai atsakingam už įtariamojo veiksmus fiziniam asmeniui arba fiziniams asmenims, kurie turi nusikalstamu būdu gautą ar įgytą arba Lietuvos Respublikos baudžiamojo kodekso 72</w:t>
      </w:r>
      <w:r>
        <w:rPr>
          <w:color w:val="000000"/>
          <w:vertAlign w:val="superscript"/>
        </w:rPr>
        <w:t>3</w:t>
      </w:r>
      <w:r>
        <w:rPr>
          <w:color w:val="000000"/>
        </w:rPr>
        <w:t xml:space="preserve"> straipsnyje nurodytus požymius atitinkantį konfiskuotiną turtą, gali būti skiriamas laikinas nuosavybės teisės apribojimas. Laikinas nuosavybės teisės apribojimas gali būti skiriamas kartu su poėmiu ar krata.“</w:t>
      </w:r>
    </w:p>
    <w:p>
      <w:pPr>
        <w:widowControl w:val="0"/>
        <w:suppressAutoHyphens/>
        <w:ind w:firstLine="567"/>
        <w:jc w:val="both"/>
        <w:rPr>
          <w:color w:val="000000"/>
        </w:rPr>
      </w:pPr>
      <w:r>
        <w:rPr>
          <w:color w:val="000000"/>
        </w:rPr>
        <w:t>2</w:t>
      </w:r>
      <w:r>
        <w:rPr>
          <w:color w:val="000000"/>
        </w:rPr>
        <w:t>. 151 straipsnio 2 dalies 1 punkte po žodžių „numatytais atvejais“ įrašyti žodžius ir skaičių „ir galimą išplėstinį turto konfiskavimą Lietuvos Respublikos baudžiamojo kodekso 72</w:t>
      </w:r>
      <w:r>
        <w:rPr>
          <w:color w:val="000000"/>
          <w:vertAlign w:val="superscript"/>
        </w:rPr>
        <w:t>3</w:t>
      </w:r>
      <w:r>
        <w:rPr>
          <w:color w:val="000000"/>
        </w:rPr>
        <w:t xml:space="preserve"> straipsnyje numatytais atvejais“ ir šį punktą išdėstyti taip:</w:t>
      </w:r>
    </w:p>
    <w:p>
      <w:pPr>
        <w:widowControl w:val="0"/>
        <w:suppressAutoHyphens/>
        <w:ind w:firstLine="567"/>
        <w:jc w:val="both"/>
        <w:rPr>
          <w:color w:val="000000"/>
        </w:rPr>
      </w:pPr>
      <w:r>
        <w:rPr>
          <w:color w:val="000000"/>
        </w:rPr>
        <w:t>„</w:t>
      </w:r>
      <w:r>
        <w:rPr>
          <w:color w:val="000000"/>
        </w:rPr>
        <w:t>1</w:t>
      </w:r>
      <w:r>
        <w:rPr>
          <w:color w:val="000000"/>
        </w:rPr>
        <w:t>) siekiama užtikrinti galimą turto konfiskavimą Lietuvos Respublikos baudžiamojo kodekso 72 straipsnyje numatytais atvejais ir galimą išplėstinį turto konfiskavimą Lietuvos Respublikos baudžiamojo kodekso 72</w:t>
      </w:r>
      <w:r>
        <w:rPr>
          <w:color w:val="000000"/>
          <w:vertAlign w:val="superscript"/>
        </w:rPr>
        <w:t>3</w:t>
      </w:r>
      <w:r>
        <w:rPr>
          <w:color w:val="000000"/>
        </w:rPr>
        <w:t xml:space="preserve"> straipsnyje numatytais atvejais;“.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Kodekso papildymas 170</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Kodeksą 170</w:t>
      </w:r>
      <w:r>
        <w:rPr>
          <w:color w:val="000000"/>
          <w:vertAlign w:val="superscript"/>
        </w:rPr>
        <w:t>1</w:t>
      </w:r>
      <w:r>
        <w:rPr>
          <w:color w:val="000000"/>
        </w:rPr>
        <w:t xml:space="preserve"> straipsniu ir jį išdėstyti taip: </w:t>
      </w:r>
    </w:p>
    <w:p>
      <w:pPr>
        <w:ind w:firstLine="567"/>
        <w:jc w:val="both"/>
      </w:pPr>
    </w:p>
    <w:p>
      <w:pPr>
        <w:keepLines/>
        <w:widowControl w:val="0"/>
        <w:suppressAutoHyphens/>
        <w:ind w:firstLine="567"/>
        <w:jc w:val="both"/>
        <w:rPr>
          <w:b/>
          <w:bCs/>
          <w:color w:val="000000"/>
        </w:rPr>
      </w:pPr>
      <w:r>
        <w:rPr>
          <w:b/>
          <w:bCs/>
          <w:color w:val="000000"/>
        </w:rPr>
        <w:t>„</w:t>
      </w:r>
      <w:r>
        <w:rPr>
          <w:b/>
          <w:bCs/>
          <w:color w:val="000000"/>
        </w:rPr>
        <w:t>170</w:t>
      </w:r>
      <w:r>
        <w:rPr>
          <w:b/>
          <w:bCs/>
          <w:color w:val="000000"/>
          <w:vertAlign w:val="superscript"/>
        </w:rPr>
        <w:t>1</w:t>
      </w:r>
      <w:r>
        <w:rPr>
          <w:b/>
          <w:bCs/>
          <w:color w:val="000000"/>
        </w:rPr>
        <w:t xml:space="preserve"> straipsnis. </w:t>
      </w:r>
      <w:r>
        <w:rPr>
          <w:b/>
          <w:bCs/>
          <w:color w:val="000000"/>
        </w:rPr>
        <w:t>Prokuroro įgaliojimai užtikrinant turto konfiskavimą</w:t>
      </w:r>
    </w:p>
    <w:p>
      <w:pPr>
        <w:widowControl w:val="0"/>
        <w:suppressAutoHyphens/>
        <w:ind w:firstLine="567"/>
        <w:jc w:val="both"/>
        <w:rPr>
          <w:b/>
          <w:bCs/>
          <w:color w:val="000000"/>
        </w:rPr>
      </w:pPr>
      <w:r>
        <w:rPr>
          <w:color w:val="000000"/>
        </w:rPr>
        <w:t>Proceso metu prokuroras turi imtis priemonių turto, kuris atitinka Lietuvos Respublikos baudžiamojo kodekso 72 ar 72</w:t>
      </w:r>
      <w:r>
        <w:rPr>
          <w:color w:val="000000"/>
          <w:vertAlign w:val="superscript"/>
        </w:rPr>
        <w:t>3</w:t>
      </w:r>
      <w:r>
        <w:rPr>
          <w:color w:val="000000"/>
        </w:rPr>
        <w:t xml:space="preserve"> straipsnyje nurodytus požymius, suradimui ir jo galimam konfiskavimui užtikrinti.“</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198 straipsnio papildymas 3 dalimi</w:t>
      </w:r>
    </w:p>
    <w:p>
      <w:pPr>
        <w:widowControl w:val="0"/>
        <w:suppressAutoHyphens/>
        <w:ind w:firstLine="567"/>
        <w:jc w:val="both"/>
        <w:rPr>
          <w:color w:val="000000"/>
        </w:rPr>
      </w:pPr>
      <w:r>
        <w:rPr>
          <w:color w:val="000000"/>
        </w:rPr>
        <w:t>Papildyti 198 straipsnį 3 dalimi:</w:t>
      </w:r>
    </w:p>
    <w:p>
      <w:pPr>
        <w:widowControl w:val="0"/>
        <w:suppressAutoHyphens/>
        <w:ind w:firstLine="567"/>
        <w:jc w:val="both"/>
        <w:rPr>
          <w:color w:val="000000"/>
        </w:rPr>
      </w:pPr>
      <w:r>
        <w:rPr>
          <w:color w:val="000000"/>
        </w:rPr>
        <w:t>„</w:t>
      </w:r>
      <w:r>
        <w:rPr>
          <w:color w:val="000000"/>
        </w:rPr>
        <w:t>3</w:t>
      </w:r>
      <w:r>
        <w:rPr>
          <w:color w:val="000000"/>
        </w:rPr>
        <w:t>. Prokuroras ar ikiteisminio tyrimo pareigūnas, turėdamas duomenų, kad yra šio Kodekso 199 straipsnyje numatyti anonimiškumo taikymo pagrindai, anonimiškumą gali taikyti savo iniciatyva.“</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199 straipsnio 1 dalies 1 punkto pakeitimas</w:t>
      </w:r>
    </w:p>
    <w:p>
      <w:pPr>
        <w:widowControl w:val="0"/>
        <w:suppressAutoHyphens/>
        <w:ind w:firstLine="567"/>
        <w:jc w:val="both"/>
        <w:rPr>
          <w:color w:val="000000"/>
        </w:rPr>
      </w:pPr>
      <w:r>
        <w:rPr>
          <w:color w:val="000000"/>
        </w:rPr>
        <w:t>Pakeisti 199 straipsnio 1 dalies 1 punktą ir jį išdėstyti taip:</w:t>
      </w:r>
    </w:p>
    <w:p>
      <w:pPr>
        <w:widowControl w:val="0"/>
        <w:suppressAutoHyphens/>
        <w:ind w:firstLine="567"/>
        <w:jc w:val="both"/>
        <w:rPr>
          <w:color w:val="000000"/>
        </w:rPr>
      </w:pPr>
      <w:r>
        <w:rPr>
          <w:color w:val="000000"/>
        </w:rPr>
        <w:t>„</w:t>
      </w:r>
      <w:r>
        <w:rPr>
          <w:color w:val="000000"/>
        </w:rPr>
        <w:t>1</w:t>
      </w:r>
      <w:r>
        <w:rPr>
          <w:color w:val="000000"/>
        </w:rPr>
        <w:t>) gresia realus pavojus nukentėjusiojo, liudytojo ar jų šeimos narių arba artimųjų giminaičių gyvybei, sveikatai, laisvei ar turtui, taip pat tarnybos, verslo ar kitiems teisėtiems interesams;“.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Kodekso papildymas 199</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Kodeksą 199</w:t>
      </w:r>
      <w:r>
        <w:rPr>
          <w:color w:val="000000"/>
          <w:vertAlign w:val="superscript"/>
        </w:rPr>
        <w:t>1</w:t>
      </w:r>
      <w:r>
        <w:rPr>
          <w:color w:val="000000"/>
        </w:rPr>
        <w:t xml:space="preserve"> 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199</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Dalinis anonimiškumas</w:t>
      </w:r>
    </w:p>
    <w:p>
      <w:pPr>
        <w:widowControl w:val="0"/>
        <w:suppressAutoHyphens/>
        <w:ind w:firstLine="567"/>
        <w:jc w:val="both"/>
        <w:rPr>
          <w:color w:val="000000"/>
        </w:rPr>
      </w:pPr>
      <w:r>
        <w:rPr>
          <w:color w:val="000000"/>
        </w:rPr>
        <w:t>1</w:t>
      </w:r>
      <w:r>
        <w:rPr>
          <w:color w:val="000000"/>
        </w:rPr>
        <w:t>. Kai yra šio Kodekso 199 straipsnyje numatyti pagrindai, taip pat kitais atvejais, kai yra duomenų, kad tam tikrų liudytojo ar nukentėjusiojo duomenų atskleidimas gali turėti neigiamų padarinių jų, jų šeimos narių ar artimųjų giminaičių teisėms ir teisėtiems interesams ir šių teisių ir interesų apsaugai užtikrinti pakanka dalies duomenų apie liudytoją ar nukentėjusįjį slaptumo, gali būti taikomas dalinis anonimiškumas.</w:t>
      </w:r>
    </w:p>
    <w:p>
      <w:pPr>
        <w:widowControl w:val="0"/>
        <w:suppressAutoHyphens/>
        <w:ind w:firstLine="567"/>
        <w:jc w:val="both"/>
        <w:rPr>
          <w:color w:val="000000"/>
        </w:rPr>
      </w:pPr>
      <w:r>
        <w:rPr>
          <w:color w:val="000000"/>
        </w:rPr>
        <w:t>2</w:t>
      </w:r>
      <w:r>
        <w:rPr>
          <w:color w:val="000000"/>
        </w:rPr>
        <w:t xml:space="preserve">. Kai yra šio straipsnio 1 dalyje nurodytos aplinkybės, prokuroras ar ikiteisminio tyrimo pareigūnas nutarimu taikyti dalinį anonimiškumą nustato įslaptinamų duomenų apimtį. Gali būti įslaptinami liudytojo ar nukentėjusiojo vardas ir pavardė, gimimo data, asmens kodas, gyvenamosios vietos adresas, profesija, darbo ar mokymosi vieta, giminystės ryšiai, taip pat kiti liudytojo ar nukentėjusiojo duomenys (išskyrus duomenis apie liudytojo ar nukentėjusiojo santykius su įtariamuoju), kurių įslaptinimas yra grindžiamas šio straipsnio 1 dalyje nurodytomis aplinkybėmis. </w:t>
      </w:r>
    </w:p>
    <w:p>
      <w:pPr>
        <w:widowControl w:val="0"/>
        <w:suppressAutoHyphens/>
        <w:ind w:firstLine="567"/>
        <w:jc w:val="both"/>
        <w:rPr>
          <w:color w:val="000000"/>
        </w:rPr>
      </w:pPr>
      <w:r>
        <w:rPr>
          <w:color w:val="000000"/>
        </w:rPr>
        <w:t>3</w:t>
      </w:r>
      <w:r>
        <w:rPr>
          <w:color w:val="000000"/>
        </w:rPr>
        <w:t xml:space="preserve">. Nukentėjusysis ir liudytojas, kuriems taikomas dalinis anonimiškumas įslaptinant jų vardą ir pavardę, tyrimo veiksmų ir kituose bylos dokumentuose įvardijamas numeriu. </w:t>
      </w:r>
    </w:p>
    <w:p>
      <w:pPr>
        <w:widowControl w:val="0"/>
        <w:suppressAutoHyphens/>
        <w:ind w:firstLine="567"/>
        <w:jc w:val="both"/>
        <w:rPr>
          <w:color w:val="000000"/>
        </w:rPr>
      </w:pPr>
      <w:r>
        <w:rPr>
          <w:color w:val="000000"/>
        </w:rPr>
        <w:t>4</w:t>
      </w:r>
      <w:r>
        <w:rPr>
          <w:color w:val="000000"/>
        </w:rPr>
        <w:t>. Dalinio anonimiškumo taikymo atvejais tyrimo veiksmai atliekami ir bylos dokumentai surašomi bendra šio Kodekso nustatyta tvarka, įslaptinti duomenys surašomi, saugomi ir naudojami šio Kodekso 201 straipsnyje nustatyta tvarka, išskyrus šiame straipsnyje nustatytas išimtis.“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212 straipsnio 8 punkto pakeitimas</w:t>
      </w:r>
    </w:p>
    <w:p>
      <w:pPr>
        <w:widowControl w:val="0"/>
        <w:suppressAutoHyphens/>
        <w:ind w:firstLine="567"/>
        <w:jc w:val="both"/>
        <w:rPr>
          <w:color w:val="000000"/>
        </w:rPr>
      </w:pPr>
      <w:r>
        <w:rPr>
          <w:color w:val="000000"/>
        </w:rPr>
        <w:t>212 straipsnio 8 punkte po skaičių ir žodžių „114 straipsnio 3 dalyje“ įrašyti skaičius ir žodžius „189</w:t>
      </w:r>
      <w:r>
        <w:rPr>
          <w:color w:val="000000"/>
          <w:vertAlign w:val="superscript"/>
        </w:rPr>
        <w:t>1</w:t>
      </w:r>
      <w:r>
        <w:rPr>
          <w:color w:val="000000"/>
        </w:rPr>
        <w:t xml:space="preserve"> straipsnio 2 dalyje“ ir šį punktą išdėstyti taip:</w:t>
      </w:r>
    </w:p>
    <w:p>
      <w:pPr>
        <w:widowControl w:val="0"/>
        <w:suppressAutoHyphens/>
        <w:ind w:firstLine="567"/>
        <w:jc w:val="both"/>
        <w:rPr>
          <w:color w:val="000000"/>
        </w:rPr>
      </w:pPr>
      <w:r>
        <w:rPr>
          <w:color w:val="000000"/>
        </w:rPr>
        <w:t>„</w:t>
      </w:r>
      <w:r>
        <w:rPr>
          <w:color w:val="000000"/>
        </w:rPr>
        <w:t>8</w:t>
      </w:r>
      <w:r>
        <w:rPr>
          <w:color w:val="000000"/>
        </w:rPr>
        <w:t>) kai yra Lietuvos Respublikos baudžiamojo kodekso 93 straipsnyje, 114 straipsnio 3 dalyje, 189</w:t>
      </w:r>
      <w:r>
        <w:rPr>
          <w:color w:val="000000"/>
          <w:vertAlign w:val="superscript"/>
        </w:rPr>
        <w:t>1</w:t>
      </w:r>
      <w:r>
        <w:rPr>
          <w:color w:val="000000"/>
        </w:rPr>
        <w:t xml:space="preserve"> straipsnio 2 dalyje, 227 straipsnio 4 dalyje, 259 straipsnio 3 dalyje, 291 straipsnio 2 ir 3 dalyse numatyti atleidimo nuo baudžiamosios atsakomybės sąlygos ir pagrindai;“.</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216 straipsnio 2 dalies pakeitimas</w:t>
      </w:r>
    </w:p>
    <w:p>
      <w:pPr>
        <w:widowControl w:val="0"/>
        <w:suppressAutoHyphens/>
        <w:ind w:firstLine="567"/>
        <w:jc w:val="both"/>
        <w:rPr>
          <w:color w:val="000000"/>
        </w:rPr>
      </w:pPr>
      <w:r>
        <w:rPr>
          <w:color w:val="000000"/>
        </w:rPr>
        <w:t>Pakeisti 216 straipsnio 2 dalį ir ją išdėstyti taip:</w:t>
      </w:r>
    </w:p>
    <w:p>
      <w:pPr>
        <w:widowControl w:val="0"/>
        <w:suppressAutoHyphens/>
        <w:ind w:firstLine="567"/>
        <w:jc w:val="both"/>
        <w:rPr>
          <w:b/>
          <w:bCs/>
          <w:color w:val="000000"/>
        </w:rPr>
      </w:pPr>
      <w:r>
        <w:rPr>
          <w:color w:val="000000"/>
        </w:rPr>
        <w:t>„</w:t>
      </w:r>
      <w:r>
        <w:rPr>
          <w:color w:val="000000"/>
        </w:rPr>
        <w:t>2</w:t>
      </w:r>
      <w:r>
        <w:rPr>
          <w:color w:val="000000"/>
        </w:rPr>
        <w:t>. Nutarime turi būti šio Kodekso 94 straipsnyje nustatyta tvarka išspręstas daiktų, turinčių reikšmės nusikalstamai veikai ištirti, klausimas. Be to, nutarime nurodoma, kad panaikinama kardomoji priemonė, taip pat civilinio ieškinio, turto konfiskavimo ir išplėstinio turto konfiskavimo užtikrinimo priemonės.“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238 straipsnio papildymas 4 dalimi</w:t>
      </w:r>
    </w:p>
    <w:p>
      <w:pPr>
        <w:widowControl w:val="0"/>
        <w:suppressAutoHyphens/>
        <w:ind w:firstLine="567"/>
        <w:jc w:val="both"/>
        <w:rPr>
          <w:color w:val="000000"/>
        </w:rPr>
      </w:pPr>
      <w:r>
        <w:rPr>
          <w:color w:val="000000"/>
        </w:rPr>
        <w:t>Papildyti 238 straipsnį 4 dalimi:</w:t>
      </w:r>
    </w:p>
    <w:p>
      <w:pPr>
        <w:widowControl w:val="0"/>
        <w:suppressAutoHyphens/>
        <w:ind w:firstLine="567"/>
        <w:jc w:val="both"/>
        <w:rPr>
          <w:color w:val="000000"/>
        </w:rPr>
      </w:pPr>
      <w:r>
        <w:rPr>
          <w:color w:val="000000"/>
        </w:rPr>
        <w:t>„</w:t>
      </w:r>
      <w:r>
        <w:rPr>
          <w:color w:val="000000"/>
        </w:rPr>
        <w:t>4</w:t>
      </w:r>
      <w:r>
        <w:rPr>
          <w:color w:val="000000"/>
        </w:rPr>
        <w:t>. Jeigu bylos perdavimo nagrinėti teisiamajame posėdyje ar pasirengimo nagrinėti teisme metu gaunamas prašymas taikyti liudytojui ar nukentėjusiajam dalinį anonimiškumą, teismas gali nutartimi taikyti dalinį anonimiškumą ir nustatyti įslaptinamų duomenų apimtį. Šiuo atveju šiame Kodekse numatyti proceso veiksmai atliekami ir bylos dokumentai surašomi šio Kodekso 199</w:t>
      </w:r>
      <w:r>
        <w:rPr>
          <w:color w:val="000000"/>
          <w:vertAlign w:val="superscript"/>
        </w:rPr>
        <w:t>1</w:t>
      </w:r>
      <w:r>
        <w:rPr>
          <w:color w:val="000000"/>
        </w:rPr>
        <w:t xml:space="preserve"> straipsnyje nustatyta tvarka.“</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254 straipsnio 5 dalies pakeitimas</w:t>
      </w:r>
    </w:p>
    <w:p>
      <w:pPr>
        <w:widowControl w:val="0"/>
        <w:suppressAutoHyphens/>
        <w:ind w:firstLine="567"/>
        <w:jc w:val="both"/>
        <w:rPr>
          <w:color w:val="000000"/>
        </w:rPr>
      </w:pPr>
      <w:r>
        <w:rPr>
          <w:color w:val="000000"/>
        </w:rPr>
        <w:t>254 straipsnio 5 dalyje po skaičių ir žodžių „114 straipsnio 3 dalyje“ įrašyti skaičius ir žodžius „189</w:t>
      </w:r>
      <w:r>
        <w:rPr>
          <w:color w:val="000000"/>
          <w:vertAlign w:val="superscript"/>
        </w:rPr>
        <w:t>1</w:t>
      </w:r>
      <w:r>
        <w:rPr>
          <w:color w:val="000000"/>
        </w:rPr>
        <w:t xml:space="preserve"> straipsnio 2 dalyje“ ir šią dalį išdėstyti taip:</w:t>
      </w:r>
    </w:p>
    <w:p>
      <w:pPr>
        <w:widowControl w:val="0"/>
        <w:suppressAutoHyphens/>
        <w:ind w:firstLine="567"/>
        <w:jc w:val="both"/>
        <w:rPr>
          <w:color w:val="000000"/>
        </w:rPr>
      </w:pPr>
      <w:r>
        <w:rPr>
          <w:color w:val="000000"/>
        </w:rPr>
        <w:t>„</w:t>
      </w:r>
      <w:r>
        <w:rPr>
          <w:color w:val="000000"/>
        </w:rPr>
        <w:t>5</w:t>
      </w:r>
      <w:r>
        <w:rPr>
          <w:color w:val="000000"/>
        </w:rPr>
        <w:t>. Nagrinėjimo teisme metu, kai nustatomi Lietuvos Respublikos baudžiamojo kodekso 36–40, 93 straipsniuose, 114 straipsnio 3 dalyje, 189</w:t>
      </w:r>
      <w:r>
        <w:rPr>
          <w:color w:val="000000"/>
          <w:vertAlign w:val="superscript"/>
        </w:rPr>
        <w:t>1</w:t>
      </w:r>
      <w:r>
        <w:rPr>
          <w:color w:val="000000"/>
        </w:rPr>
        <w:t xml:space="preserve"> straipsnio 2 dalyje, 259 straipsnio 3 dalyje, 227 straipsnio 4 dalyje ir 291 straipsnio 2 ir 3 dalyse numatyti pagrindai atleisti asmenį nuo baudžiamosios atsakomybės, byla nutraukiama nuosprendžiu.“</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279 straipsnio papildymas 7 dalimi</w:t>
      </w:r>
    </w:p>
    <w:p>
      <w:pPr>
        <w:widowControl w:val="0"/>
        <w:suppressAutoHyphens/>
        <w:ind w:firstLine="567"/>
        <w:jc w:val="both"/>
        <w:rPr>
          <w:color w:val="000000"/>
        </w:rPr>
      </w:pPr>
      <w:r>
        <w:rPr>
          <w:color w:val="000000"/>
        </w:rPr>
        <w:t>Papildyti 279 straipsnį 7 dalimi:</w:t>
      </w:r>
    </w:p>
    <w:p>
      <w:pPr>
        <w:widowControl w:val="0"/>
        <w:suppressAutoHyphens/>
        <w:ind w:firstLine="567"/>
        <w:jc w:val="both"/>
        <w:rPr>
          <w:color w:val="000000"/>
        </w:rPr>
      </w:pPr>
      <w:r>
        <w:rPr>
          <w:color w:val="000000"/>
        </w:rPr>
        <w:t>„</w:t>
      </w:r>
      <w:r>
        <w:rPr>
          <w:color w:val="000000"/>
        </w:rPr>
        <w:t>7</w:t>
      </w:r>
      <w:r>
        <w:rPr>
          <w:color w:val="000000"/>
        </w:rPr>
        <w:t>. Liudytojas, kuriam taikomas dalinis anonimiškumas, apklausiamas šiame straipsnyje nustatyta tvarka. Teisiamojo posėdžio pirmininkas imasi visų įstatymų numatytų priemonių, kad apklausiant liudytoją, kuriam taikomas dalinis anonimiškumas, nebūtų atskleisti įslaptinti asmens tapatybės duomenys.“</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283 straipsnio papildymas 5 dalimi</w:t>
      </w:r>
    </w:p>
    <w:p>
      <w:pPr>
        <w:widowControl w:val="0"/>
        <w:suppressAutoHyphens/>
        <w:ind w:firstLine="567"/>
        <w:jc w:val="both"/>
        <w:rPr>
          <w:color w:val="000000"/>
        </w:rPr>
      </w:pPr>
      <w:r>
        <w:rPr>
          <w:color w:val="000000"/>
        </w:rPr>
        <w:t>Papildyti 283 straipsnį 5 dalimi:</w:t>
      </w:r>
    </w:p>
    <w:p>
      <w:pPr>
        <w:widowControl w:val="0"/>
        <w:suppressAutoHyphens/>
        <w:ind w:firstLine="567"/>
        <w:jc w:val="both"/>
        <w:rPr>
          <w:color w:val="000000"/>
        </w:rPr>
      </w:pPr>
      <w:r>
        <w:rPr>
          <w:color w:val="000000"/>
        </w:rPr>
        <w:t>„</w:t>
      </w:r>
      <w:r>
        <w:rPr>
          <w:color w:val="000000"/>
        </w:rPr>
        <w:t>5</w:t>
      </w:r>
      <w:r>
        <w:rPr>
          <w:color w:val="000000"/>
        </w:rPr>
        <w:t>. Nukentėjusysis, kuriam taikomas dalinis anonimiškumas, apklausiamas laikantis šio Kodekso 279 straipsnyje nustatytų taisyklių.“</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303 straipsnio 4 dalies pakeitimas</w:t>
      </w:r>
    </w:p>
    <w:p>
      <w:pPr>
        <w:widowControl w:val="0"/>
        <w:suppressAutoHyphens/>
        <w:ind w:firstLine="567"/>
        <w:jc w:val="both"/>
        <w:rPr>
          <w:color w:val="000000"/>
        </w:rPr>
      </w:pPr>
      <w:r>
        <w:rPr>
          <w:color w:val="000000"/>
        </w:rPr>
        <w:t>303 straipsnio 4 dalyje po skaičių ir žodžių „114 straipsnio 3 dalyje“ įrašyti skaičius ir žodžius „189</w:t>
      </w:r>
      <w:r>
        <w:rPr>
          <w:color w:val="000000"/>
          <w:vertAlign w:val="superscript"/>
        </w:rPr>
        <w:t>1</w:t>
      </w:r>
      <w:r>
        <w:rPr>
          <w:color w:val="000000"/>
        </w:rPr>
        <w:t xml:space="preserve"> straipsnio 2 dalyje“ ir šią dalį išdėstyti taip:</w:t>
      </w:r>
    </w:p>
    <w:p>
      <w:pPr>
        <w:widowControl w:val="0"/>
        <w:suppressAutoHyphens/>
        <w:ind w:firstLine="567"/>
        <w:jc w:val="both"/>
        <w:rPr>
          <w:color w:val="000000"/>
        </w:rPr>
      </w:pPr>
      <w:r>
        <w:rPr>
          <w:color w:val="000000"/>
        </w:rPr>
        <w:t>„</w:t>
      </w:r>
      <w:r>
        <w:rPr>
          <w:color w:val="000000"/>
        </w:rPr>
        <w:t>4</w:t>
      </w:r>
      <w:r>
        <w:rPr>
          <w:color w:val="000000"/>
        </w:rPr>
        <w:t>. Teismas nuosprendžiu nutraukia baudžiamąją bylą, jeigu yra Lietuvos Respublikos baudžiamojo kodekso 36–40, 93 straipsniuose, 114 straipsnio 3 dalyje,</w:t>
      </w:r>
      <w:r>
        <w:rPr>
          <w:b/>
          <w:bCs/>
          <w:color w:val="000000"/>
        </w:rPr>
        <w:t xml:space="preserve"> </w:t>
      </w:r>
      <w:r>
        <w:rPr>
          <w:color w:val="000000"/>
        </w:rPr>
        <w:t>189</w:t>
      </w:r>
      <w:r>
        <w:rPr>
          <w:color w:val="000000"/>
          <w:vertAlign w:val="superscript"/>
        </w:rPr>
        <w:t>1</w:t>
      </w:r>
      <w:r>
        <w:rPr>
          <w:color w:val="000000"/>
        </w:rPr>
        <w:t xml:space="preserve"> straipsnio 2 dalyje,</w:t>
      </w:r>
      <w:r>
        <w:rPr>
          <w:b/>
          <w:bCs/>
          <w:color w:val="000000"/>
        </w:rPr>
        <w:t xml:space="preserve"> </w:t>
      </w:r>
      <w:r>
        <w:rPr>
          <w:color w:val="000000"/>
        </w:rPr>
        <w:t>227 straipsnio 4 dalyje, 259 straipsnio 3 dalyje ir 291 straipsnio 2 ir 3 dalyse numatyti pagrindai atleisti kaltinamąjį nuo baudžiamosios atsakomybės.“</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327 straipsnio 2 punkto pakeitimas</w:t>
      </w:r>
    </w:p>
    <w:p>
      <w:pPr>
        <w:widowControl w:val="0"/>
        <w:suppressAutoHyphens/>
        <w:ind w:firstLine="567"/>
        <w:jc w:val="both"/>
        <w:rPr>
          <w:color w:val="000000"/>
        </w:rPr>
      </w:pPr>
      <w:r>
        <w:rPr>
          <w:color w:val="000000"/>
        </w:rPr>
        <w:t>327 straipsnio 2 punkte po skaičių ir žodžių „114 straipsnio 3 dalyje“ įrašyti skaičius ir žodžius „189</w:t>
      </w:r>
      <w:r>
        <w:rPr>
          <w:color w:val="000000"/>
          <w:vertAlign w:val="superscript"/>
        </w:rPr>
        <w:t>1</w:t>
      </w:r>
      <w:r>
        <w:rPr>
          <w:color w:val="000000"/>
        </w:rPr>
        <w:t xml:space="preserve"> straipsnio 2 dalyje“ ir šį punktą išdėstyti taip:</w:t>
      </w:r>
    </w:p>
    <w:p>
      <w:pPr>
        <w:widowControl w:val="0"/>
        <w:suppressAutoHyphens/>
        <w:ind w:firstLine="567"/>
        <w:jc w:val="both"/>
        <w:rPr>
          <w:color w:val="000000"/>
        </w:rPr>
      </w:pPr>
      <w:r>
        <w:rPr>
          <w:color w:val="000000"/>
        </w:rPr>
        <w:t>„</w:t>
      </w:r>
      <w:r>
        <w:rPr>
          <w:color w:val="000000"/>
        </w:rPr>
        <w:t>2</w:t>
      </w:r>
      <w:r>
        <w:rPr>
          <w:color w:val="000000"/>
        </w:rPr>
        <w:t>) yra Lietuvos Respublikos baudžiamojo kodekso 36–40, 93 straipsniuose, 114 straipsnio 3 dalyje, 189</w:t>
      </w:r>
      <w:r>
        <w:rPr>
          <w:color w:val="000000"/>
          <w:vertAlign w:val="superscript"/>
        </w:rPr>
        <w:t>1</w:t>
      </w:r>
      <w:r>
        <w:rPr>
          <w:color w:val="000000"/>
        </w:rPr>
        <w:t xml:space="preserve"> straipsnio 2 dalyje,</w:t>
      </w:r>
      <w:r>
        <w:rPr>
          <w:b/>
          <w:bCs/>
          <w:color w:val="000000"/>
        </w:rPr>
        <w:t xml:space="preserve"> </w:t>
      </w:r>
      <w:r>
        <w:rPr>
          <w:color w:val="000000"/>
        </w:rPr>
        <w:t>227 straipsnio 4 dalyje, 259 straipsnio 3 dalyje ir 291 straipsnio 2 ir 3 dalyse numatyti pagrindai atleisti kaltinamąjį nuo baudžiamosios atsakomybės.“</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342 straipsnio 4 dalies 8 punkto pakeitimas</w:t>
      </w:r>
    </w:p>
    <w:p>
      <w:pPr>
        <w:widowControl w:val="0"/>
        <w:suppressAutoHyphens/>
        <w:ind w:firstLine="567"/>
        <w:jc w:val="both"/>
        <w:rPr>
          <w:color w:val="000000"/>
        </w:rPr>
      </w:pPr>
      <w:r>
        <w:rPr>
          <w:color w:val="000000"/>
        </w:rPr>
        <w:t>Pakeisti 342 straipsnio 4 dalies 8 punktą ir jį išdėstyti taip:</w:t>
      </w:r>
    </w:p>
    <w:p>
      <w:pPr>
        <w:widowControl w:val="0"/>
        <w:suppressAutoHyphens/>
        <w:ind w:firstLine="567"/>
        <w:jc w:val="both"/>
        <w:rPr>
          <w:b/>
          <w:bCs/>
          <w:color w:val="000000"/>
        </w:rPr>
      </w:pPr>
      <w:r>
        <w:rPr>
          <w:color w:val="000000"/>
        </w:rPr>
        <w:t>„</w:t>
      </w:r>
      <w:r>
        <w:rPr>
          <w:color w:val="000000"/>
        </w:rPr>
        <w:t>8</w:t>
      </w:r>
      <w:r>
        <w:rPr>
          <w:color w:val="000000"/>
        </w:rPr>
        <w:t>) dėl baudžiamojo poveikio priemonių – turto konfiskavimo ir išplėstinio turto konfiskavimo – antstoliams;“.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357 straipsnio 1 dalies pakeitimas</w:t>
      </w:r>
    </w:p>
    <w:p>
      <w:pPr>
        <w:widowControl w:val="0"/>
        <w:suppressAutoHyphens/>
        <w:ind w:firstLine="567"/>
        <w:jc w:val="both"/>
        <w:rPr>
          <w:color w:val="000000"/>
        </w:rPr>
      </w:pPr>
      <w:r>
        <w:rPr>
          <w:color w:val="000000"/>
        </w:rPr>
        <w:t>357 straipsnio 1 dalyje po žodžių „turto konfiskavimas“ įrašyti žodžius „arba išplėstinis turto konfiskavimas“ ir šią dalį išdėstyti taip:</w:t>
      </w:r>
    </w:p>
    <w:p>
      <w:pPr>
        <w:widowControl w:val="0"/>
        <w:suppressAutoHyphens/>
        <w:ind w:firstLine="567"/>
        <w:jc w:val="both"/>
        <w:rPr>
          <w:color w:val="000000"/>
        </w:rPr>
      </w:pPr>
      <w:r>
        <w:rPr>
          <w:color w:val="000000"/>
        </w:rPr>
        <w:t>„</w:t>
      </w:r>
      <w:r>
        <w:rPr>
          <w:color w:val="000000"/>
        </w:rPr>
        <w:t>1</w:t>
      </w:r>
      <w:r>
        <w:rPr>
          <w:color w:val="000000"/>
        </w:rPr>
        <w:t>. Jei nuosprendžiu paskirta baudžiamojo poveikio priemonė – turto konfiskavimas arba išplėstinis turto konfiskavimas, nuosprendį paskelbęs teismas nuosprendžio nuorašą, konfiskuotino turto dokumentų nuorašus bei vykdomąjį raštą išsiunčia nuosprendžio vykdymo vietos antstoliui ir apie tai raštu praneša teritorinei valstybinei mokesčių inspekcijai.“</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361 straipsnio 2 dalies pakeitimas</w:t>
      </w:r>
    </w:p>
    <w:p>
      <w:pPr>
        <w:widowControl w:val="0"/>
        <w:suppressAutoHyphens/>
        <w:ind w:firstLine="567"/>
        <w:jc w:val="both"/>
        <w:rPr>
          <w:color w:val="000000"/>
        </w:rPr>
      </w:pPr>
      <w:r>
        <w:rPr>
          <w:color w:val="000000"/>
        </w:rPr>
        <w:t>Pakeisti 361 straipsnio 2 dalį ir ją išdėstyti taip:</w:t>
      </w:r>
    </w:p>
    <w:p>
      <w:pPr>
        <w:widowControl w:val="0"/>
        <w:suppressAutoHyphens/>
        <w:ind w:firstLine="567"/>
        <w:jc w:val="both"/>
        <w:rPr>
          <w:b/>
          <w:bCs/>
          <w:color w:val="000000"/>
        </w:rPr>
      </w:pPr>
      <w:r>
        <w:rPr>
          <w:color w:val="000000"/>
        </w:rPr>
        <w:t>„</w:t>
      </w:r>
      <w:r>
        <w:rPr>
          <w:color w:val="000000"/>
        </w:rPr>
        <w:t>2</w:t>
      </w:r>
      <w:r>
        <w:rPr>
          <w:color w:val="000000"/>
        </w:rPr>
        <w:t>. Teismas turi teisę priimti sprendimus: panaikinti kardomąją priemonę tais atvejais, kai išteisinamajame nuosprendyje arba nuosprendyje, kuriuo kaltinamasis nuteistas ir nuo bausmės atlikimo atleistas, nenurodyta, kad kardomoji priemonė panaikinama; panaikinti priemones civiliniam ieškiniui, turto konfiskavimui ar išplėstiniam turto konfiskavimui užtikrinti, jeigu šios priemonės išteisinamajame nuosprendyje ar nuosprendyje, kuriuo ieškinys atmestas arba turto konfiskavimas netaikomas, nepanaikintos; įskaityti kardomąjį kalinimą į bausmės atlikimo laiką, jeigu kardomasis kalinimas teismo nuosprendžiu neįskaitytas arba įskaitytas netiksliai; įskaityti atliktą bausmę, kai bausmė paskirta pagal kelis nuosprendžius, jeigu atliktoji bausmė teismo nuosprendžiu neįskaityta arba įskaityta netiksliai; taip pat sprendimus dėl nuosprendyje nepaskirtos ar netinkamai paskirtos bausmės vykdymo įstaigos rūšies; dėl daiktinių įrodymų, jeigu jų klausimas neišspręstas teismo nuosprendyje; dėl proceso išlaidų dydžio nustatymo ir jų paskirstymo, jeigu šie klausimai neišspręsti teismo nuosprendyje; dėl be priežiūros likusių nuteistojo vaikų likimo ir jų atidavimo artimiesiems giminaičiams, kitiems asmenims ar įstaigoms globoti ar rūpintis, jeigu šių klausimų teismas neišsprendė nuosprendyje; dėl darbo arba veiklos patikslinimo, jeigu nuosprendyje, kuriuo paskirta teisės dirbti tam tikrą darbą ar užsiimti tam tikra veikla atėmimo bausmė, tiksliai nenurodytas darbas ar veikla; dėl klaidingai nuosprendyje užrašyto nuteistojo vardo, pavardės ar kitų biografijos duomenų, taip pat rašybos ir aritmetinių klaidų ištaisymo ir kitokių netikslumų.“</w:t>
      </w:r>
    </w:p>
    <w:p>
      <w:pPr>
        <w:ind w:firstLine="567"/>
        <w:jc w:val="both"/>
      </w:pPr>
    </w:p>
    <w:p>
      <w:pPr>
        <w:keepLines/>
        <w:widowControl w:val="0"/>
        <w:suppressAutoHyphens/>
        <w:ind w:firstLine="567"/>
        <w:jc w:val="both"/>
        <w:rPr>
          <w:b/>
          <w:bCs/>
          <w:strike/>
          <w:color w:val="000000"/>
        </w:rPr>
      </w:pPr>
      <w:r>
        <w:rPr>
          <w:b/>
          <w:bCs/>
          <w:color w:val="000000"/>
        </w:rPr>
        <w:t>19</w:t>
      </w:r>
      <w:r>
        <w:rPr>
          <w:b/>
          <w:bCs/>
          <w:color w:val="000000"/>
        </w:rPr>
        <w:t xml:space="preserve"> straipsnis. </w:t>
      </w:r>
      <w:r>
        <w:rPr>
          <w:b/>
          <w:bCs/>
          <w:color w:val="000000"/>
        </w:rPr>
        <w:t>421 straipsnio 4 punkto pakeitimas</w:t>
      </w:r>
    </w:p>
    <w:p>
      <w:pPr>
        <w:widowControl w:val="0"/>
        <w:suppressAutoHyphens/>
        <w:ind w:firstLine="567"/>
        <w:jc w:val="both"/>
        <w:rPr>
          <w:color w:val="000000"/>
        </w:rPr>
      </w:pPr>
      <w:r>
        <w:rPr>
          <w:color w:val="000000"/>
        </w:rPr>
        <w:t>421 straipsnio 4 punkte po žodžių „dėl turto konfiskavimo“ įrašyti žodžius „dėl išplėstinio turto konfiskavimo“ ir šį punktą išdėstyti taip:</w:t>
      </w:r>
    </w:p>
    <w:p>
      <w:pPr>
        <w:widowControl w:val="0"/>
        <w:suppressAutoHyphens/>
        <w:ind w:firstLine="567"/>
        <w:jc w:val="both"/>
        <w:rPr>
          <w:b/>
          <w:bCs/>
          <w:strike/>
          <w:color w:val="000000"/>
        </w:rPr>
      </w:pPr>
      <w:r>
        <w:rPr>
          <w:color w:val="000000"/>
        </w:rPr>
        <w:t>„</w:t>
      </w:r>
      <w:r>
        <w:rPr>
          <w:color w:val="000000"/>
        </w:rPr>
        <w:t>4</w:t>
      </w:r>
      <w:r>
        <w:rPr>
          <w:color w:val="000000"/>
        </w:rPr>
        <w:t>) nurodyti sprendimai dėl turto konfiskavimo, dėl išplėstinio turto konfiskavimo, dėl uždraudimo naudotis specialia teise, dėl kardomosios priemonės kaltinamajam, kol įsiteisės teismo baudžiamasis įsakymas, dėl nusikalstama veika padarytos žalos atlyginimo, dėl daiktinių įrodymų likimo, dėl proceso išlaidų atlyginimo;“.</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11044</Characters>
  <Application>Microsoft Office Word</Application>
  <DocSecurity>4</DocSecurity>
  <Lines>208</Lines>
  <Paragraphs>87</Paragraphs>
  <ScaleCrop>false</ScaleCrop>
  <Company/>
  <LinksUpToDate>false</LinksUpToDate>
  <CharactersWithSpaces>12605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2015-10-16T04:50:00Z</dcterms:created>
  <dc:creator>Rima</dc:creator>
  <lastModifiedBy>Adlib User</lastModifiedBy>
  <dcterms:modified xsi:type="dcterms:W3CDTF">2015-10-16T04:50:00Z</dcterms:modified>
  <revision>2</revision>
  <dc:title>LIETUVOS RESPUBLIKOS BAUDŽIAMOJO PROCESO KODEKSO 91, 94, 151, 198, 199, 212, 216, 238, 254, 279, 283, 303, 327, 342, 357, 361, 421 STRAIPSNIŲ PAKEITIMO IR PAPILDYMO IR KODEKSO PAPILDYMO 1701, 1991 STRAIPSNIAIS ĮSTATYMAS</dc:title>
</coreProperties>
</file>