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BAUDŽIAMOJO KODEKSO 95 STRAIPSNIO PAKEITIMO BEI PAPILDYMO, KODEKSO PAPILDYMO 170</w:t>
      </w:r>
      <w:r>
        <w:rPr>
          <w:b/>
          <w:bCs/>
          <w:caps/>
          <w:color w:val="000000"/>
          <w:vertAlign w:val="superscript"/>
        </w:rPr>
        <w:t>2</w:t>
      </w:r>
      <w:r>
        <w:rPr>
          <w:b/>
          <w:bCs/>
          <w:caps/>
          <w:color w:val="000000"/>
        </w:rPr>
        <w:t xml:space="preserve"> STRAIPSNIU IR KODEKSO PRIEDO PAPILDYMO 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birželio 15 d. Nr. XI-901</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2003, Nr. </w:t>
      </w:r>
      <w:fldSimple w:instr="HYPERLINK https://www.e-tar.lt/portal/lt/legalAct/TAR.975256606460 \t _blank">
        <w:r>
          <w:rPr>
            <w:color w:val="0000FF" w:themeColor="hyperlink"/>
            <w:u w:val="single"/>
          </w:rPr>
          <w:t>38-1733</w:t>
        </w:r>
      </w:fldSimple>
      <w:r>
        <w:rPr>
          <w:color w:val="000000"/>
        </w:rPr>
        <w:t xml:space="preserve">; 2004, Nr. </w:t>
      </w:r>
      <w:fldSimple w:instr="HYPERLINK https://www.e-tar.lt/portal/lt/legalAct/TAR.ECF5798E6803 \t _blank">
        <w:r>
          <w:rPr>
            <w:color w:val="0000FF" w:themeColor="hyperlink"/>
            <w:u w:val="single"/>
          </w:rPr>
          <w:t>72-2492</w:t>
        </w:r>
      </w:fldSimple>
      <w:r>
        <w:rPr>
          <w:color w:val="000000"/>
        </w:rPr>
        <w:t xml:space="preserve">, Nr. </w:t>
      </w:r>
      <w:fldSimple w:instr="HYPERLINK https://www.e-tar.lt/portal/lt/legalAct/TAR.4B06DA349A94 \t _blank">
        <w:r>
          <w:rPr>
            <w:color w:val="0000FF" w:themeColor="hyperlink"/>
            <w:u w:val="single"/>
          </w:rPr>
          <w:t>108-4030</w:t>
        </w:r>
      </w:fldSimple>
      <w:r>
        <w:rPr>
          <w:color w:val="000000"/>
        </w:rPr>
        <w:t xml:space="preserve">, Nr. </w:t>
      </w:r>
      <w:fldSimple w:instr="HYPERLINK https://www.e-tar.lt/portal/lt/legalAct/TAR.9D7722C941FC \t _blank">
        <w:r>
          <w:rPr>
            <w:color w:val="0000FF" w:themeColor="hyperlink"/>
            <w:u w:val="single"/>
          </w:rPr>
          <w:t>188-6995</w:t>
        </w:r>
      </w:fldSimple>
      <w:r>
        <w:rPr>
          <w:color w:val="000000"/>
        </w:rPr>
        <w:t xml:space="preserve">; 2005, Nr. </w:t>
      </w:r>
      <w:fldSimple w:instr="HYPERLINK https://www.e-tar.lt/portal/lt/legalAct/TAR.DC5B5908CC19 \t _blank">
        <w:r>
          <w:rPr>
            <w:color w:val="0000FF" w:themeColor="hyperlink"/>
            <w:u w:val="single"/>
          </w:rPr>
          <w:t>81-2945</w:t>
        </w:r>
      </w:fldSimple>
      <w:r>
        <w:rPr>
          <w:color w:val="000000"/>
        </w:rPr>
        <w:t xml:space="preserve">; 2006, Nr. </w:t>
      </w:r>
      <w:fldSimple w:instr="HYPERLINK https://www.e-tar.lt/portal/lt/legalAct/TAR.F5BA1A8418B6 \t _blank">
        <w:r>
          <w:rPr>
            <w:color w:val="0000FF" w:themeColor="hyperlink"/>
            <w:u w:val="single"/>
          </w:rPr>
          <w:t>77-2961</w:t>
        </w:r>
      </w:fldSimple>
      <w:r>
        <w:rPr>
          <w:color w:val="000000"/>
        </w:rPr>
        <w:t xml:space="preserve">; 2007, Nr. </w:t>
      </w:r>
      <w:fldSimple w:instr="HYPERLINK https://www.e-tar.lt/portal/lt/legalAct/TAR.6286B3B96ECC \t _blank">
        <w:r>
          <w:rPr>
            <w:color w:val="0000FF" w:themeColor="hyperlink"/>
            <w:u w:val="single"/>
          </w:rPr>
          <w:t>81-3309</w:t>
        </w:r>
      </w:fldSimple>
      <w:r>
        <w:rPr>
          <w:color w:val="000000"/>
        </w:rPr>
        <w:t xml:space="preserve">; 2008, Nr. </w:t>
      </w:r>
      <w:fldSimple w:instr="HYPERLINK https://www.e-tar.lt/portal/lt/legalAct/TAR.BCB3FDD669C6 \t _blank">
        <w:r>
          <w:rPr>
            <w:color w:val="0000FF" w:themeColor="hyperlink"/>
            <w:u w:val="single"/>
          </w:rPr>
          <w:t>59-2200</w:t>
        </w:r>
      </w:fldSimple>
      <w:r>
        <w:rPr>
          <w:color w:val="000000"/>
        </w:rPr>
        <w:t xml:space="preserve">; 2010, Nr. </w:t>
      </w:r>
      <w:fldSimple w:instr="HYPERLINK https://www.e-tar.lt/portal/lt/legalAct/TAR.DB24057B6BC0 \t _blank">
        <w:r>
          <w:rPr>
            <w:color w:val="0000FF" w:themeColor="hyperlink"/>
            <w:u w:val="single"/>
          </w:rPr>
          <w:t>1-1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95 straipsnio pakeitimas ir papildymas</w:t>
      </w:r>
    </w:p>
    <w:p>
      <w:pPr>
        <w:widowControl w:val="0"/>
        <w:suppressAutoHyphens/>
        <w:ind w:firstLine="567"/>
        <w:jc w:val="both"/>
        <w:rPr>
          <w:color w:val="000000"/>
        </w:rPr>
      </w:pPr>
      <w:r>
        <w:rPr>
          <w:color w:val="000000"/>
        </w:rPr>
        <w:t>Pakeisti ir papildyti 95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95</w:t>
      </w:r>
      <w:r>
        <w:rPr>
          <w:b/>
          <w:bCs/>
          <w:color w:val="000000"/>
        </w:rPr>
        <w:t xml:space="preserve"> straipsnis. </w:t>
      </w:r>
      <w:r>
        <w:rPr>
          <w:b/>
          <w:bCs/>
          <w:color w:val="000000"/>
        </w:rPr>
        <w:t>Apkaltinamojo nuosprendžio priėmimo senatis</w:t>
      </w:r>
    </w:p>
    <w:p>
      <w:pPr>
        <w:widowControl w:val="0"/>
        <w:suppressAutoHyphens/>
        <w:ind w:firstLine="567"/>
        <w:jc w:val="both"/>
        <w:rPr>
          <w:color w:val="000000"/>
        </w:rPr>
      </w:pPr>
      <w:r>
        <w:rPr>
          <w:color w:val="000000"/>
        </w:rPr>
        <w:t>1</w:t>
      </w:r>
      <w:r>
        <w:rPr>
          <w:color w:val="000000"/>
        </w:rPr>
        <w:t>. Asmeniui, padariusiam nusikalstamą veiką, negali būti priimtas apkaltinamasis nuosprendis, jeigu:</w:t>
      </w:r>
    </w:p>
    <w:p>
      <w:pPr>
        <w:widowControl w:val="0"/>
        <w:suppressAutoHyphens/>
        <w:ind w:firstLine="567"/>
        <w:jc w:val="both"/>
        <w:rPr>
          <w:color w:val="000000"/>
        </w:rPr>
      </w:pPr>
      <w:r>
        <w:rPr>
          <w:color w:val="000000"/>
        </w:rPr>
        <w:t>1</w:t>
      </w:r>
      <w:r>
        <w:rPr>
          <w:color w:val="000000"/>
        </w:rPr>
        <w:t>) praėję:</w:t>
      </w:r>
    </w:p>
    <w:p>
      <w:pPr>
        <w:widowControl w:val="0"/>
        <w:suppressAutoHyphens/>
        <w:ind w:firstLine="567"/>
        <w:jc w:val="both"/>
        <w:rPr>
          <w:color w:val="000000"/>
        </w:rPr>
      </w:pPr>
      <w:r>
        <w:rPr>
          <w:color w:val="000000"/>
        </w:rPr>
        <w:t>a) treji metai, kai buvo padarytas baudžiamasis nusižengimas;</w:t>
      </w:r>
    </w:p>
    <w:p>
      <w:pPr>
        <w:widowControl w:val="0"/>
        <w:suppressAutoHyphens/>
        <w:ind w:firstLine="567"/>
        <w:jc w:val="both"/>
        <w:rPr>
          <w:color w:val="000000"/>
        </w:rPr>
      </w:pPr>
      <w:r>
        <w:rPr>
          <w:color w:val="000000"/>
        </w:rPr>
        <w:t>b) aštuoneri metai, kai buvo padarytas neatsargus arba nesunkus tyčinis nusikaltimas;</w:t>
      </w:r>
    </w:p>
    <w:p>
      <w:pPr>
        <w:widowControl w:val="0"/>
        <w:suppressAutoHyphens/>
        <w:ind w:firstLine="567"/>
        <w:jc w:val="both"/>
        <w:rPr>
          <w:color w:val="000000"/>
        </w:rPr>
      </w:pPr>
      <w:r>
        <w:rPr>
          <w:color w:val="000000"/>
        </w:rPr>
        <w:t>c) dvylika metų, kai buvo padarytas apysunkis tyčinis nusikaltimas;</w:t>
      </w:r>
    </w:p>
    <w:p>
      <w:pPr>
        <w:widowControl w:val="0"/>
        <w:suppressAutoHyphens/>
        <w:ind w:firstLine="567"/>
        <w:jc w:val="both"/>
        <w:rPr>
          <w:color w:val="000000"/>
        </w:rPr>
      </w:pPr>
      <w:r>
        <w:rPr>
          <w:color w:val="000000"/>
        </w:rPr>
        <w:t>d) penkiolika metų, kai buvo padarytas sunkus nusikaltimas;</w:t>
      </w:r>
    </w:p>
    <w:p>
      <w:pPr>
        <w:widowControl w:val="0"/>
        <w:suppressAutoHyphens/>
        <w:ind w:firstLine="567"/>
        <w:jc w:val="both"/>
        <w:rPr>
          <w:color w:val="000000"/>
        </w:rPr>
      </w:pPr>
      <w:r>
        <w:rPr>
          <w:color w:val="000000"/>
        </w:rPr>
        <w:t>e) dvidešimt penkeri metai, kai buvo padarytas labai sunkus nusikaltimas;</w:t>
      </w:r>
    </w:p>
    <w:p>
      <w:pPr>
        <w:widowControl w:val="0"/>
        <w:suppressAutoHyphens/>
        <w:ind w:firstLine="567"/>
        <w:jc w:val="both"/>
        <w:rPr>
          <w:color w:val="000000"/>
        </w:rPr>
      </w:pPr>
      <w:r>
        <w:rPr>
          <w:color w:val="000000"/>
        </w:rPr>
        <w:t xml:space="preserve">f)  trisdešimt metų, kai buvo padarytas nusikaltimas, susijęs su tyčiniu kito žmogaus gyvybės atėmimu;</w:t>
      </w:r>
    </w:p>
    <w:p>
      <w:pPr>
        <w:widowControl w:val="0"/>
        <w:suppressAutoHyphens/>
        <w:ind w:firstLine="567"/>
        <w:jc w:val="both"/>
        <w:rPr>
          <w:color w:val="000000"/>
        </w:rPr>
      </w:pPr>
      <w:r>
        <w:rPr>
          <w:color w:val="000000"/>
        </w:rPr>
        <w:t>2</w:t>
      </w:r>
      <w:r>
        <w:rPr>
          <w:color w:val="000000"/>
        </w:rPr>
        <w:t>) per šio straipsnio 1 dalies 1 punkte nustatytą laiką asmuo nesislėpė nuo ikiteisminio tyrimo ar teismo ir nepadarė naujos tyčinės nusikalstamos veikos.</w:t>
      </w:r>
    </w:p>
    <w:p>
      <w:pPr>
        <w:widowControl w:val="0"/>
        <w:suppressAutoHyphens/>
        <w:ind w:firstLine="567"/>
        <w:jc w:val="both"/>
        <w:rPr>
          <w:color w:val="000000"/>
        </w:rPr>
      </w:pPr>
      <w:r>
        <w:rPr>
          <w:color w:val="000000"/>
        </w:rPr>
        <w:t>2</w:t>
      </w:r>
      <w:r>
        <w:rPr>
          <w:color w:val="000000"/>
        </w:rPr>
        <w:t>. Senaties terminas skaičiuojamas nuo nusikalstamos veikos padarymo iki nuosprendžio priėmimo dienos.</w:t>
      </w:r>
    </w:p>
    <w:p>
      <w:pPr>
        <w:widowControl w:val="0"/>
        <w:suppressAutoHyphens/>
        <w:ind w:firstLine="567"/>
        <w:jc w:val="both"/>
        <w:rPr>
          <w:color w:val="000000"/>
        </w:rPr>
      </w:pPr>
      <w:r>
        <w:rPr>
          <w:color w:val="000000"/>
        </w:rPr>
        <w:t>3</w:t>
      </w:r>
      <w:r>
        <w:rPr>
          <w:color w:val="000000"/>
        </w:rPr>
        <w:t>. Jeigu nuo šio kodekso XVIII, XX, XXI, XXIII ir XLIV skyriuose numatytų nusikalstamų veikų nukentėjo nepilnametis, senaties terminas negali baigtis anksčiau, negu šiam asmeniui sueina dvidešimt penkeri metai.</w:t>
      </w:r>
    </w:p>
    <w:p>
      <w:pPr>
        <w:widowControl w:val="0"/>
        <w:suppressAutoHyphens/>
        <w:ind w:firstLine="567"/>
        <w:jc w:val="both"/>
        <w:rPr>
          <w:color w:val="000000"/>
        </w:rPr>
      </w:pPr>
      <w:r>
        <w:rPr>
          <w:color w:val="000000"/>
        </w:rPr>
        <w:t>4</w:t>
      </w:r>
      <w:r>
        <w:rPr>
          <w:color w:val="000000"/>
        </w:rPr>
        <w:t>.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pPr>
        <w:widowControl w:val="0"/>
        <w:suppressAutoHyphens/>
        <w:ind w:firstLine="567"/>
        <w:jc w:val="both"/>
        <w:rPr>
          <w:color w:val="000000"/>
        </w:rPr>
      </w:pPr>
      <w:r>
        <w:rPr>
          <w:color w:val="000000"/>
        </w:rPr>
        <w:t>5</w:t>
      </w:r>
      <w:r>
        <w:rPr>
          <w:color w:val="000000"/>
        </w:rPr>
        <w:t>. Bylos nagrinėjimo teisme metu senaties eiga sustoja laikotarpiui, kuriam:</w:t>
      </w:r>
    </w:p>
    <w:p>
      <w:pPr>
        <w:widowControl w:val="0"/>
        <w:suppressAutoHyphens/>
        <w:ind w:firstLine="567"/>
        <w:jc w:val="both"/>
        <w:rPr>
          <w:color w:val="000000"/>
        </w:rPr>
      </w:pPr>
      <w:r>
        <w:rPr>
          <w:color w:val="000000"/>
        </w:rPr>
        <w:t>1</w:t>
      </w:r>
      <w:r>
        <w:rPr>
          <w:color w:val="000000"/>
        </w:rPr>
        <w:t>) teismas paskelbia nagrinėjimo teisme pertrauką ar bylos nagrinėjimą atideda dėl kaltinamojo ar jo gynėjo nedalyvavimo;</w:t>
      </w:r>
    </w:p>
    <w:p>
      <w:pPr>
        <w:widowControl w:val="0"/>
        <w:suppressAutoHyphens/>
        <w:ind w:firstLine="567"/>
        <w:jc w:val="both"/>
        <w:rPr>
          <w:color w:val="000000"/>
        </w:rPr>
      </w:pPr>
      <w:r>
        <w:rPr>
          <w:color w:val="000000"/>
        </w:rPr>
        <w:t>2</w:t>
      </w:r>
      <w:r>
        <w:rPr>
          <w:color w:val="000000"/>
        </w:rPr>
        <w:t>) teismas paskelbia nagrinėjimo teisme pertrauką, kol bus atlikta teismo paskirta ekspertizė, specialisto tyrimas ar bus įvykdytas teisinės pagalbos prašymas užsienio valstybei;</w:t>
      </w:r>
    </w:p>
    <w:p>
      <w:pPr>
        <w:widowControl w:val="0"/>
        <w:suppressAutoHyphens/>
        <w:ind w:firstLine="567"/>
        <w:jc w:val="both"/>
        <w:rPr>
          <w:color w:val="000000"/>
        </w:rPr>
      </w:pPr>
      <w:r>
        <w:rPr>
          <w:color w:val="000000"/>
        </w:rPr>
        <w:t>3</w:t>
      </w:r>
      <w:r>
        <w:rPr>
          <w:color w:val="000000"/>
        </w:rPr>
        <w:t>) teismas paskelbia nagrinėjimo teisme pertrauką ir paveda prokurorui ar ikiteisminio tyrimo teisėjui atlikti Lietuvos Respublikos baudžiamojo proceso kodekse numatytus procesinius veiksmus;</w:t>
      </w:r>
    </w:p>
    <w:p>
      <w:pPr>
        <w:widowControl w:val="0"/>
        <w:suppressAutoHyphens/>
        <w:ind w:firstLine="567"/>
        <w:jc w:val="both"/>
        <w:rPr>
          <w:color w:val="000000"/>
        </w:rPr>
      </w:pPr>
      <w:r>
        <w:rPr>
          <w:color w:val="000000"/>
        </w:rPr>
        <w:t>4</w:t>
      </w:r>
      <w:r>
        <w:rPr>
          <w:color w:val="000000"/>
        </w:rPr>
        <w:t>) teismas paskelbia nagrinėjimo teisme pertrauką naujai pakviestam kaltinamojo gynėjui susipažinti su bylos medžiaga.</w:t>
      </w:r>
    </w:p>
    <w:p>
      <w:pPr>
        <w:widowControl w:val="0"/>
        <w:suppressAutoHyphens/>
        <w:ind w:firstLine="567"/>
        <w:jc w:val="both"/>
        <w:rPr>
          <w:color w:val="000000"/>
        </w:rPr>
      </w:pPr>
      <w:r>
        <w:rPr>
          <w:color w:val="000000"/>
        </w:rPr>
        <w:t>6</w:t>
      </w:r>
      <w:r>
        <w:rPr>
          <w:color w:val="000000"/>
        </w:rPr>
        <w:t>. Šio straipsnio 5 dalyje numatytais atvejais apkaltinamasis nuosprendis negali būti priimtas, jeigu nuo senaties termino pradžios praėjo penkeriais metais ilgesnis terminas, negu numatyta šio straipsnio 1 dalyje.</w:t>
      </w:r>
    </w:p>
    <w:p>
      <w:pPr>
        <w:widowControl w:val="0"/>
        <w:suppressAutoHyphens/>
        <w:ind w:firstLine="567"/>
        <w:jc w:val="both"/>
        <w:rPr>
          <w:color w:val="000000"/>
        </w:rPr>
      </w:pPr>
      <w:r>
        <w:rPr>
          <w:color w:val="000000"/>
        </w:rPr>
        <w:t>7</w:t>
      </w:r>
      <w:r>
        <w:rPr>
          <w:color w:val="000000"/>
        </w:rPr>
        <w:t xml:space="preserve">.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pPr>
        <w:widowControl w:val="0"/>
        <w:suppressAutoHyphens/>
        <w:ind w:firstLine="567"/>
        <w:jc w:val="both"/>
        <w:rPr>
          <w:color w:val="000000"/>
        </w:rPr>
      </w:pPr>
      <w:r>
        <w:rPr>
          <w:color w:val="000000"/>
        </w:rPr>
        <w:t>8</w:t>
      </w:r>
      <w:r>
        <w:rPr>
          <w:color w:val="000000"/>
        </w:rPr>
        <w:t xml:space="preserve">.  Nėra senaties šiems nusikaltimams, numatytiems šiame kodekse:</w:t>
      </w:r>
    </w:p>
    <w:p>
      <w:pPr>
        <w:widowControl w:val="0"/>
        <w:suppressAutoHyphens/>
        <w:ind w:firstLine="567"/>
        <w:jc w:val="both"/>
        <w:rPr>
          <w:color w:val="000000"/>
        </w:rPr>
      </w:pPr>
      <w:r>
        <w:rPr>
          <w:color w:val="000000"/>
        </w:rPr>
        <w:t>1</w:t>
      </w:r>
      <w:r>
        <w:rPr>
          <w:color w:val="000000"/>
        </w:rPr>
        <w:t>) genocidui (99 straipsnis);</w:t>
      </w:r>
    </w:p>
    <w:p>
      <w:pPr>
        <w:widowControl w:val="0"/>
        <w:suppressAutoHyphens/>
        <w:ind w:firstLine="567"/>
        <w:jc w:val="both"/>
        <w:rPr>
          <w:color w:val="000000"/>
        </w:rPr>
      </w:pPr>
      <w:r>
        <w:rPr>
          <w:color w:val="000000"/>
        </w:rPr>
        <w:t>2</w:t>
      </w:r>
      <w:r>
        <w:rPr>
          <w:color w:val="000000"/>
        </w:rPr>
        <w:t xml:space="preserve">) tarptautinės teisės draudžiamam elgesiui su žmonėmis (100 straipsnis); </w:t>
      </w:r>
    </w:p>
    <w:p>
      <w:pPr>
        <w:widowControl w:val="0"/>
        <w:suppressAutoHyphens/>
        <w:ind w:firstLine="567"/>
        <w:jc w:val="both"/>
        <w:rPr>
          <w:color w:val="000000"/>
        </w:rPr>
      </w:pPr>
      <w:r>
        <w:rPr>
          <w:color w:val="000000"/>
        </w:rPr>
        <w:t>3</w:t>
      </w:r>
      <w:r>
        <w:rPr>
          <w:color w:val="000000"/>
        </w:rPr>
        <w:t>) tarptautinės humanitarinės teisės saugomų asmenų žudymui (101 straipsnis);</w:t>
      </w:r>
    </w:p>
    <w:p>
      <w:pPr>
        <w:widowControl w:val="0"/>
        <w:suppressAutoHyphens/>
        <w:ind w:firstLine="567"/>
        <w:jc w:val="both"/>
        <w:rPr>
          <w:color w:val="000000"/>
        </w:rPr>
      </w:pPr>
      <w:r>
        <w:rPr>
          <w:color w:val="000000"/>
        </w:rPr>
        <w:t>4</w:t>
      </w:r>
      <w:r>
        <w:rPr>
          <w:color w:val="000000"/>
        </w:rPr>
        <w:t>) okupuotos valstybės civilių trėmimui ar okupavusios valstybės civilių gyventojų perkėlimui (102 straipsnis);</w:t>
      </w:r>
    </w:p>
    <w:p>
      <w:pPr>
        <w:widowControl w:val="0"/>
        <w:suppressAutoHyphens/>
        <w:ind w:firstLine="567"/>
        <w:jc w:val="both"/>
        <w:rPr>
          <w:color w:val="000000"/>
        </w:rPr>
      </w:pPr>
      <w:r>
        <w:rPr>
          <w:color w:val="000000"/>
        </w:rPr>
        <w:t>5</w:t>
      </w:r>
      <w:r>
        <w:rPr>
          <w:color w:val="000000"/>
        </w:rPr>
        <w:t xml:space="preserve">) tarptautinės humanitarinės teisės saugomų asmenų žalojimui, kankinimui ar kitokiam nežmoniškam elgesiui su jais (103 straipsnis); </w:t>
      </w:r>
    </w:p>
    <w:p>
      <w:pPr>
        <w:widowControl w:val="0"/>
        <w:suppressAutoHyphens/>
        <w:ind w:firstLine="567"/>
        <w:jc w:val="both"/>
        <w:rPr>
          <w:color w:val="000000"/>
        </w:rPr>
      </w:pPr>
      <w:r>
        <w:rPr>
          <w:color w:val="000000"/>
        </w:rPr>
        <w:t>6</w:t>
      </w:r>
      <w:r>
        <w:rPr>
          <w:color w:val="000000"/>
        </w:rPr>
        <w:t xml:space="preserve">) tarptautinės humanitarinės teisės normų dėl civilių ir jų turto apsaugos karo metu pažeidimui (104 straipsnis); </w:t>
      </w:r>
    </w:p>
    <w:p>
      <w:pPr>
        <w:widowControl w:val="0"/>
        <w:suppressAutoHyphens/>
        <w:ind w:firstLine="567"/>
        <w:jc w:val="both"/>
        <w:rPr>
          <w:color w:val="000000"/>
        </w:rPr>
      </w:pPr>
      <w:r>
        <w:rPr>
          <w:color w:val="000000"/>
        </w:rPr>
        <w:t>7</w:t>
      </w:r>
      <w:r>
        <w:rPr>
          <w:color w:val="000000"/>
        </w:rPr>
        <w:t xml:space="preserve">) civilių ar karo belaisvių prievartiniam panaudojimui priešo ginkluotosiose pajėgose (105 straipsnis); </w:t>
      </w:r>
    </w:p>
    <w:p>
      <w:pPr>
        <w:widowControl w:val="0"/>
        <w:suppressAutoHyphens/>
        <w:ind w:firstLine="567"/>
        <w:jc w:val="both"/>
        <w:rPr>
          <w:color w:val="000000"/>
        </w:rPr>
      </w:pPr>
      <w:r>
        <w:rPr>
          <w:color w:val="000000"/>
        </w:rPr>
        <w:t>8</w:t>
      </w:r>
      <w:r>
        <w:rPr>
          <w:color w:val="000000"/>
        </w:rPr>
        <w:t xml:space="preserve">) saugomų objektų naikinimui ar nacionalinių vertybių grobstymui (106 straipsnis); </w:t>
      </w:r>
    </w:p>
    <w:p>
      <w:pPr>
        <w:widowControl w:val="0"/>
        <w:suppressAutoHyphens/>
        <w:ind w:firstLine="567"/>
        <w:jc w:val="both"/>
        <w:rPr>
          <w:color w:val="000000"/>
        </w:rPr>
      </w:pPr>
      <w:r>
        <w:rPr>
          <w:color w:val="000000"/>
        </w:rPr>
        <w:t>9</w:t>
      </w:r>
      <w:r>
        <w:rPr>
          <w:color w:val="000000"/>
        </w:rPr>
        <w:t xml:space="preserve">) agresijai (110 straipsnis); </w:t>
      </w:r>
    </w:p>
    <w:p>
      <w:pPr>
        <w:widowControl w:val="0"/>
        <w:suppressAutoHyphens/>
        <w:ind w:firstLine="567"/>
        <w:jc w:val="both"/>
        <w:rPr>
          <w:color w:val="000000"/>
        </w:rPr>
      </w:pPr>
      <w:r>
        <w:rPr>
          <w:color w:val="000000"/>
        </w:rPr>
        <w:t>10</w:t>
      </w:r>
      <w:r>
        <w:rPr>
          <w:color w:val="000000"/>
        </w:rPr>
        <w:t>) draudžiamai karo atakai (111 straipsnis);</w:t>
      </w:r>
    </w:p>
    <w:p>
      <w:pPr>
        <w:widowControl w:val="0"/>
        <w:suppressAutoHyphens/>
        <w:ind w:firstLine="567"/>
        <w:jc w:val="both"/>
        <w:rPr>
          <w:color w:val="000000"/>
        </w:rPr>
      </w:pPr>
      <w:r>
        <w:rPr>
          <w:color w:val="000000"/>
        </w:rPr>
        <w:t>11</w:t>
      </w:r>
      <w:r>
        <w:rPr>
          <w:color w:val="000000"/>
        </w:rPr>
        <w:t>) uždraustų karo priemonių naudojimui (112 straipsnis).“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Kodekso papildymas 170</w:t>
      </w:r>
      <w:r>
        <w:rPr>
          <w:b/>
          <w:bCs/>
          <w:color w:val="000000"/>
          <w:vertAlign w:val="superscript"/>
        </w:rPr>
        <w:t>2</w:t>
      </w:r>
      <w:r>
        <w:rPr>
          <w:b/>
          <w:bCs/>
          <w:color w:val="000000"/>
        </w:rPr>
        <w:t xml:space="preserve"> straipsniu</w:t>
      </w:r>
    </w:p>
    <w:p>
      <w:pPr>
        <w:widowControl w:val="0"/>
        <w:suppressAutoHyphens/>
        <w:ind w:firstLine="567"/>
        <w:jc w:val="both"/>
        <w:rPr>
          <w:color w:val="000000"/>
        </w:rPr>
      </w:pPr>
      <w:r>
        <w:rPr>
          <w:color w:val="000000"/>
        </w:rPr>
        <w:t>Papildyti Kodeksą 170</w:t>
      </w:r>
      <w:r>
        <w:rPr>
          <w:color w:val="000000"/>
          <w:vertAlign w:val="superscript"/>
        </w:rPr>
        <w:t>2</w:t>
      </w:r>
      <w:r>
        <w:rPr>
          <w:color w:val="000000"/>
        </w:rPr>
        <w:t xml:space="preserve"> straipsniu:</w:t>
      </w:r>
    </w:p>
    <w:p>
      <w:pPr>
        <w:ind w:firstLine="567"/>
        <w:jc w:val="both"/>
      </w:pPr>
    </w:p>
    <w:p>
      <w:pPr>
        <w:keepLines/>
        <w:widowControl w:val="0"/>
        <w:tabs>
          <w:tab w:val="left" w:pos="1304"/>
          <w:tab w:val="left" w:pos="1457"/>
          <w:tab w:val="left" w:pos="1604"/>
          <w:tab w:val="left" w:pos="1757"/>
        </w:tabs>
        <w:suppressAutoHyphens/>
        <w:ind w:left="2520" w:hanging="1953"/>
        <w:jc w:val="both"/>
        <w:rPr>
          <w:b/>
          <w:bCs/>
          <w:color w:val="000000"/>
        </w:rPr>
      </w:pPr>
      <w:r>
        <w:rPr>
          <w:b/>
          <w:bCs/>
          <w:color w:val="000000"/>
        </w:rPr>
        <w:t>„</w:t>
      </w:r>
      <w:r>
        <w:rPr>
          <w:b/>
          <w:bCs/>
          <w:color w:val="000000"/>
        </w:rPr>
        <w:t>170</w:t>
      </w:r>
      <w:r>
        <w:rPr>
          <w:b/>
          <w:bCs/>
          <w:color w:val="000000"/>
          <w:vertAlign w:val="superscript"/>
        </w:rPr>
        <w:t>2</w:t>
      </w:r>
      <w:r>
        <w:rPr>
          <w:b/>
          <w:bCs/>
          <w:color w:val="000000"/>
        </w:rPr>
        <w:t xml:space="preserve"> straipsnis. </w:t>
      </w:r>
      <w:r>
        <w:rPr>
          <w:b/>
          <w:bCs/>
          <w:color w:val="000000"/>
        </w:rPr>
        <w:t>Viešas pritarimas tarptautiniams nusikaltimams, SSRS ar nacistinės Vokietijos nusikaltimams Lietuvos Respublikai ar jos gyventojams, jų neigimas ar šiurkštus menkinimas</w:t>
      </w:r>
    </w:p>
    <w:p>
      <w:pPr>
        <w:widowControl w:val="0"/>
        <w:suppressAutoHyphens/>
        <w:ind w:firstLine="567"/>
        <w:jc w:val="both"/>
        <w:rPr>
          <w:color w:val="000000"/>
        </w:rPr>
      </w:pPr>
      <w:r>
        <w:rPr>
          <w:color w:val="000000"/>
        </w:rPr>
        <w:t>1</w:t>
      </w:r>
      <w:r>
        <w:rPr>
          <w:color w:val="000000"/>
        </w:rPr>
        <w:t>.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pPr>
        <w:widowControl w:val="0"/>
        <w:suppressAutoHyphens/>
        <w:ind w:firstLine="567"/>
        <w:jc w:val="both"/>
        <w:rPr>
          <w:color w:val="000000"/>
        </w:rPr>
      </w:pPr>
      <w:r>
        <w:rPr>
          <w:color w:val="000000"/>
        </w:rPr>
        <w:t>baudžiamas bauda arba laisvės apribojimu, arba areštu, arba laisvės atėmimu iki dvejų metų.</w:t>
      </w:r>
    </w:p>
    <w:p>
      <w:pPr>
        <w:widowControl w:val="0"/>
        <w:suppressAutoHyphens/>
        <w:ind w:firstLine="567"/>
        <w:jc w:val="both"/>
        <w:rPr>
          <w:color w:val="000000"/>
        </w:rPr>
      </w:pPr>
      <w:r>
        <w:rPr>
          <w:color w:val="000000"/>
        </w:rPr>
        <w:t>2</w:t>
      </w:r>
      <w:r>
        <w:rPr>
          <w:color w:val="000000"/>
        </w:rPr>
        <w:t>. Už šiame straipsnyje numatytas veikas atsako ir juridinis asmuo.“</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Kodekso priedo papildymas 20 punktu</w:t>
      </w:r>
    </w:p>
    <w:p>
      <w:pPr>
        <w:widowControl w:val="0"/>
        <w:suppressAutoHyphens/>
        <w:ind w:firstLine="567"/>
        <w:jc w:val="both"/>
        <w:rPr>
          <w:color w:val="000000"/>
        </w:rPr>
      </w:pPr>
      <w:r>
        <w:rPr>
          <w:color w:val="000000"/>
        </w:rPr>
        <w:t>Papildyti Kodekso priedą 20 punktu:</w:t>
      </w:r>
    </w:p>
    <w:p>
      <w:pPr>
        <w:widowControl w:val="0"/>
        <w:suppressAutoHyphens/>
        <w:ind w:firstLine="567"/>
        <w:jc w:val="both"/>
        <w:rPr>
          <w:color w:val="000000"/>
        </w:rPr>
      </w:pPr>
      <w:r>
        <w:rPr>
          <w:color w:val="000000"/>
        </w:rPr>
        <w:t>„</w:t>
      </w:r>
      <w:r>
        <w:rPr>
          <w:color w:val="000000"/>
        </w:rPr>
        <w:t>20</w:t>
      </w:r>
      <w:r>
        <w:rPr>
          <w:color w:val="000000"/>
        </w:rPr>
        <w:t>. 2008 m. lapkričio 28 d. Tarybos pagrindų sprendimas 2008/913/TVR dėl kovos su tam tikromis rasizmo ir ksenofobijos formomis bei apraiškomis baudžiamosios teisės priemonėmis (OL 2008 L 328, p. 55–58).“</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jc w:val="center"/>
      </w:pPr>
      <w:r>
        <w:t>_________________</w:t>
      </w:r>
    </w:p>
    <w:sectPr>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9" Type="http://schemas.openxmlformats.org/officeDocument/2006/relationships/header" Target="header1.xml"/>
  <Relationship Id="rId2" Type="http://schemas.microsoft.com/office/2007/relationships/stylesWithEffects" Target="stylesWithEffect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6165</Characters>
  <Application>Microsoft Office Word</Application>
  <DocSecurity>4</DocSecurity>
  <Lines>118</Lines>
  <Paragraphs>64</Paragraphs>
  <ScaleCrop>false</ScaleCrop>
  <Company/>
  <LinksUpToDate>false</LinksUpToDate>
  <CharactersWithSpaces>7018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2015-06-11T00:20:00Z</dcterms:created>
  <dc:creator>Rima</dc:creator>
  <lastModifiedBy>Adlib User</lastModifiedBy>
  <dcterms:modified xsi:type="dcterms:W3CDTF">2015-06-11T00:20:00Z</dcterms:modified>
  <revision>2</revision>
  <dc:title>LIETUVOS RESPUBLIKOS BAUDŽIAMOJO KODEKSO 95 STRAIPSNIO PAKEITIMO BEI PAPILDYMO, KODEKSO PAPILDYMO 1702 STRAIPSNIU IR KODEKSO PRIEDO PAPILDYMO ĮSTATYMAS</dc:title>
</coreProperties>
</file>