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VIEŠOJO SEKTORIAUS ATSKAITOMYBĖS ĮSTATYMO 1, 2, 15, 17, 19, 20, 21, 27, 29, 30, 31, 32, 33, 35, 36 STRAIPSNIŲ PAKEITIMO IR PAPILDYMO ĮSTATYMAS</w:t>
      </w:r>
    </w:p>
    <w:p>
      <w:pPr>
        <w:keepLines/>
        <w:widowControl w:val="0"/>
        <w:suppressAutoHyphens/>
        <w:jc w:val="center"/>
        <w:rPr>
          <w:color w:val="000000"/>
        </w:rPr>
      </w:pPr>
    </w:p>
    <w:p>
      <w:pPr>
        <w:keepLines/>
        <w:widowControl w:val="0"/>
        <w:suppressAutoHyphens/>
        <w:jc w:val="center"/>
        <w:rPr>
          <w:color w:val="000000"/>
        </w:rPr>
      </w:pPr>
      <w:r>
        <w:rPr>
          <w:color w:val="000000"/>
        </w:rPr>
        <w:t>2010 m. gegužės 25 d. Nr. XI-842</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2007, Nr. </w:t>
      </w:r>
      <w:fldSimple w:instr="HYPERLINK https://www.e-tar.lt/portal/lt/legalAct/TAR.E2CE2C82DA9E \t _blank">
        <w:r>
          <w:rPr>
            <w:color w:val="0000FF" w:themeColor="hyperlink"/>
            <w:u w:val="single"/>
          </w:rPr>
          <w:t>77-3046</w:t>
        </w:r>
      </w:fldSimple>
      <w:r>
        <w:rPr>
          <w:color w:val="000000"/>
        </w:rPr>
        <w:t xml:space="preserve">; 2008, Nr. </w:t>
      </w:r>
      <w:fldSimple w:instr="HYPERLINK https://www.e-tar.lt/portal/lt/legalAct/TAR.9A9825575BCD \t _blank">
        <w:r>
          <w:rPr>
            <w:color w:val="0000FF" w:themeColor="hyperlink"/>
            <w:u w:val="single"/>
          </w:rPr>
          <w:t>137-5370</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 straipsnio 3 dalies pakeitimas</w:t>
      </w:r>
    </w:p>
    <w:p>
      <w:pPr>
        <w:widowControl w:val="0"/>
        <w:suppressAutoHyphens/>
        <w:ind w:firstLine="567"/>
        <w:jc w:val="both"/>
        <w:rPr>
          <w:color w:val="000000"/>
        </w:rPr>
      </w:pPr>
      <w:r>
        <w:rPr>
          <w:color w:val="000000"/>
        </w:rPr>
        <w:t>Pakeisti 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Šis įstatymas taikomas viešojo sektoriaus subjektams. Juridiniai asmenys, kurių akcininkai (dalininkai) yra viešojo sektoriaus subjektai, ir valstybės bei savivaldybių įmonės (toliau – įmonės ir įstaigos) bei Lietuvos bankas teikia savo finansines ataskaitas, parengtas pagal jų finansinę atskaitomybę reglamentuojančius teisės aktus, tiems viešojo sektoriaus subjektams, kurie į savo finansines ataskaitas teisės aktų nustatyta tvarka įtraukia šių įmonių ir įstaigų bei Lietuvos banko finansinių ataskaitų duomenis.“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2 straipsnio pakeitimas</w:t>
      </w:r>
    </w:p>
    <w:p>
      <w:pPr>
        <w:widowControl w:val="0"/>
        <w:suppressAutoHyphens/>
        <w:ind w:firstLine="567"/>
        <w:jc w:val="both"/>
        <w:rPr>
          <w:color w:val="000000"/>
        </w:rPr>
      </w:pPr>
      <w:r>
        <w:rPr>
          <w:color w:val="000000"/>
        </w:rPr>
        <w:t>1</w:t>
      </w:r>
      <w:r>
        <w:rPr>
          <w:color w:val="000000"/>
        </w:rPr>
        <w:t>. 2 straipsnio 11 dalį pripažinti netekusia galios.</w:t>
      </w:r>
    </w:p>
    <w:p>
      <w:pPr>
        <w:widowControl w:val="0"/>
        <w:suppressAutoHyphens/>
        <w:ind w:firstLine="567"/>
        <w:jc w:val="both"/>
        <w:rPr>
          <w:color w:val="000000"/>
        </w:rPr>
      </w:pPr>
      <w:r>
        <w:rPr>
          <w:color w:val="000000"/>
        </w:rPr>
        <w:t>2</w:t>
      </w:r>
      <w:r>
        <w:rPr>
          <w:color w:val="000000"/>
        </w:rPr>
        <w:t>. Buvusias 2 straipsnio 12–42 dalis laikyti atitinkamai 11–41 dalimis.</w:t>
      </w:r>
    </w:p>
    <w:p>
      <w:pPr>
        <w:widowControl w:val="0"/>
        <w:suppressAutoHyphens/>
        <w:ind w:firstLine="567"/>
        <w:jc w:val="both"/>
        <w:rPr>
          <w:color w:val="000000"/>
        </w:rPr>
      </w:pPr>
      <w:r>
        <w:rPr>
          <w:color w:val="000000"/>
        </w:rPr>
        <w:t>3</w:t>
      </w:r>
      <w:r>
        <w:rPr>
          <w:color w:val="000000"/>
        </w:rPr>
        <w:t>. Pakeisti 2 straipsnio 11 dalį ir ją išdėstyti taip:</w:t>
      </w:r>
    </w:p>
    <w:p>
      <w:pPr>
        <w:widowControl w:val="0"/>
        <w:suppressAutoHyphens/>
        <w:ind w:firstLine="567"/>
        <w:jc w:val="both"/>
        <w:rPr>
          <w:color w:val="000000"/>
        </w:rPr>
      </w:pPr>
      <w:r>
        <w:rPr>
          <w:color w:val="000000"/>
        </w:rPr>
        <w:t>„</w:t>
      </w:r>
      <w:r>
        <w:rPr>
          <w:color w:val="000000"/>
        </w:rPr>
        <w:t>11</w:t>
      </w:r>
      <w:r>
        <w:rPr>
          <w:color w:val="000000"/>
        </w:rPr>
        <w:t xml:space="preserve">. </w:t>
      </w:r>
      <w:r>
        <w:rPr>
          <w:b/>
          <w:bCs/>
          <w:color w:val="000000"/>
        </w:rPr>
        <w:t xml:space="preserve">Mokesčių fondas </w:t>
      </w:r>
      <w:r>
        <w:rPr>
          <w:color w:val="000000"/>
        </w:rPr>
        <w:t>– fondas, kuriame kaupiamos turto ir įsipareigojimų, susijusių su Valstybinės mokesčių inspekcijos arba Muitinės departamento administruojamais Lietuvos Respublikos mokesčių administravimo įstatyme nurodytais mokesčiais, rinkliavomis ir kitomis įmokomis, sumos ir kitos sumos, susijusios su minėtų įstaigų atliekamomis kitais teisės aktais joms perduotomis funkcijomis.“</w:t>
      </w:r>
    </w:p>
    <w:p>
      <w:pPr>
        <w:widowControl w:val="0"/>
        <w:suppressAutoHyphens/>
        <w:ind w:firstLine="567"/>
        <w:jc w:val="both"/>
        <w:rPr>
          <w:color w:val="000000"/>
        </w:rPr>
      </w:pPr>
      <w:r>
        <w:rPr>
          <w:color w:val="000000"/>
        </w:rPr>
        <w:t>4</w:t>
      </w:r>
      <w:r>
        <w:rPr>
          <w:color w:val="000000"/>
        </w:rPr>
        <w:t>. Pakeisti 2 straipsnio 19 dalį ir ją išdėstyti taip:</w:t>
      </w:r>
    </w:p>
    <w:p>
      <w:pPr>
        <w:widowControl w:val="0"/>
        <w:suppressAutoHyphens/>
        <w:ind w:firstLine="567"/>
        <w:jc w:val="both"/>
        <w:rPr>
          <w:color w:val="000000"/>
        </w:rPr>
      </w:pPr>
      <w:r>
        <w:rPr>
          <w:color w:val="000000"/>
        </w:rPr>
        <w:t>„</w:t>
      </w:r>
      <w:r>
        <w:rPr>
          <w:color w:val="000000"/>
        </w:rPr>
        <w:t>19</w:t>
      </w:r>
      <w:r>
        <w:rPr>
          <w:color w:val="000000"/>
        </w:rPr>
        <w:t xml:space="preserve">. </w:t>
      </w:r>
      <w:r>
        <w:rPr>
          <w:b/>
          <w:bCs/>
          <w:color w:val="000000"/>
        </w:rPr>
        <w:t xml:space="preserve">Išteklių fondas </w:t>
      </w:r>
      <w:r>
        <w:rPr>
          <w:color w:val="000000"/>
        </w:rPr>
        <w:t>– valstybės, savivaldybės iždas, Valstybinio socialinio draudimo fondas, Privalomojo sveikatos draudimo fondas, Privatizavimo fondas, Rezervinis (stabilizavimo) fondas, valstybės įmonės Ignalinos atominės elektrinės eksploatavimo nutraukimo fondas, Garantinis fondas, taip pat pagal atskirą įstatymą arba savivaldybės tarybos sprendimu įsteigtas fondas valstybės arba savivaldybių ištekliams kaupti ir naudoti, kuris laikomas atskiru viešojo sektoriaus subjektu, jei atitinka visus šiuos kriterijus:</w:t>
      </w:r>
    </w:p>
    <w:p>
      <w:pPr>
        <w:widowControl w:val="0"/>
        <w:suppressAutoHyphens/>
        <w:ind w:firstLine="567"/>
        <w:jc w:val="both"/>
        <w:rPr>
          <w:color w:val="000000"/>
        </w:rPr>
      </w:pPr>
      <w:r>
        <w:rPr>
          <w:color w:val="000000"/>
        </w:rPr>
        <w:t>1</w:t>
      </w:r>
      <w:r>
        <w:rPr>
          <w:color w:val="000000"/>
        </w:rPr>
        <w:t>) įsteigtas tam tikroms valstybės arba savivaldybės funkcijoms atlikti;</w:t>
      </w:r>
    </w:p>
    <w:p>
      <w:pPr>
        <w:widowControl w:val="0"/>
        <w:suppressAutoHyphens/>
        <w:ind w:firstLine="567"/>
        <w:jc w:val="both"/>
        <w:rPr>
          <w:color w:val="000000"/>
        </w:rPr>
      </w:pPr>
      <w:r>
        <w:rPr>
          <w:color w:val="000000"/>
        </w:rPr>
        <w:t>2</w:t>
      </w:r>
      <w:r>
        <w:rPr>
          <w:color w:val="000000"/>
        </w:rPr>
        <w:t>) jo išlaidų pagrindinis finansavimo šaltinis yra pajamos, kurios būdingos tik šiam fondui ir kurios nėra gautos iš valstybės biudžeto, savivaldybės biudžeto, Valstybinio socialinio draudimo fondo biudžeto ir Privalomojo sveikatos draudimo fondo biudžeto;</w:t>
      </w:r>
    </w:p>
    <w:p>
      <w:pPr>
        <w:widowControl w:val="0"/>
        <w:suppressAutoHyphens/>
        <w:ind w:firstLine="567"/>
        <w:jc w:val="both"/>
        <w:rPr>
          <w:color w:val="000000"/>
        </w:rPr>
      </w:pPr>
      <w:r>
        <w:rPr>
          <w:color w:val="000000"/>
        </w:rPr>
        <w:t>3</w:t>
      </w:r>
      <w:r>
        <w:rPr>
          <w:color w:val="000000"/>
        </w:rPr>
        <w:t>) jo lėšos kaupiamos atskiroje sąskaitoje ir pagal teisės aktų nustatyta tvarka patvirtintą šio fondo sąmatą naudojamos jo uždaviniams įgyvendinti.“</w:t>
      </w:r>
    </w:p>
    <w:p>
      <w:pPr>
        <w:widowControl w:val="0"/>
        <w:suppressAutoHyphens/>
        <w:ind w:firstLine="567"/>
        <w:jc w:val="both"/>
        <w:rPr>
          <w:color w:val="000000"/>
        </w:rPr>
      </w:pPr>
      <w:r>
        <w:rPr>
          <w:color w:val="000000"/>
        </w:rPr>
        <w:t>5</w:t>
      </w:r>
      <w:r>
        <w:rPr>
          <w:color w:val="000000"/>
        </w:rPr>
        <w:t>. Pakeisti 2 straipsnio 22 dalį ir ją išdėstyti taip:</w:t>
      </w:r>
    </w:p>
    <w:p>
      <w:pPr>
        <w:widowControl w:val="0"/>
        <w:suppressAutoHyphens/>
        <w:ind w:firstLine="567"/>
        <w:jc w:val="both"/>
        <w:rPr>
          <w:color w:val="000000"/>
        </w:rPr>
      </w:pPr>
      <w:r>
        <w:rPr>
          <w:color w:val="000000"/>
        </w:rPr>
        <w:t>„</w:t>
      </w:r>
      <w:r>
        <w:rPr>
          <w:color w:val="000000"/>
        </w:rPr>
        <w:t>22</w:t>
      </w:r>
      <w:r>
        <w:rPr>
          <w:color w:val="000000"/>
        </w:rPr>
        <w:t xml:space="preserve">. </w:t>
      </w:r>
      <w:r>
        <w:rPr>
          <w:b/>
          <w:bCs/>
          <w:color w:val="000000"/>
        </w:rPr>
        <w:t>Viešojo sektoriaus subjektai:</w:t>
      </w:r>
    </w:p>
    <w:p>
      <w:pPr>
        <w:widowControl w:val="0"/>
        <w:suppressAutoHyphens/>
        <w:ind w:firstLine="567"/>
        <w:jc w:val="both"/>
        <w:rPr>
          <w:color w:val="000000"/>
        </w:rPr>
      </w:pPr>
      <w:r>
        <w:rPr>
          <w:color w:val="000000"/>
        </w:rPr>
        <w:t>1</w:t>
      </w:r>
      <w:r>
        <w:rPr>
          <w:color w:val="000000"/>
        </w:rPr>
        <w:t>) valstybė;</w:t>
      </w:r>
    </w:p>
    <w:p>
      <w:pPr>
        <w:widowControl w:val="0"/>
        <w:suppressAutoHyphens/>
        <w:ind w:firstLine="567"/>
        <w:jc w:val="both"/>
        <w:rPr>
          <w:color w:val="000000"/>
        </w:rPr>
      </w:pPr>
      <w:r>
        <w:rPr>
          <w:color w:val="000000"/>
        </w:rPr>
        <w:t>2</w:t>
      </w:r>
      <w:r>
        <w:rPr>
          <w:color w:val="000000"/>
        </w:rPr>
        <w:t>) savivaldybės;</w:t>
      </w:r>
    </w:p>
    <w:p>
      <w:pPr>
        <w:widowControl w:val="0"/>
        <w:suppressAutoHyphens/>
        <w:ind w:firstLine="567"/>
        <w:jc w:val="both"/>
        <w:rPr>
          <w:color w:val="000000"/>
        </w:rPr>
      </w:pPr>
      <w:r>
        <w:rPr>
          <w:color w:val="000000"/>
        </w:rPr>
        <w:t>3</w:t>
      </w:r>
      <w:r>
        <w:rPr>
          <w:color w:val="000000"/>
        </w:rPr>
        <w:t>) biudžetinės įstaigos;</w:t>
      </w:r>
    </w:p>
    <w:p>
      <w:pPr>
        <w:widowControl w:val="0"/>
        <w:suppressAutoHyphens/>
        <w:ind w:firstLine="567"/>
        <w:jc w:val="both"/>
        <w:rPr>
          <w:color w:val="000000"/>
        </w:rPr>
      </w:pPr>
      <w:r>
        <w:rPr>
          <w:color w:val="000000"/>
        </w:rPr>
        <w:t>4</w:t>
      </w:r>
      <w:r>
        <w:rPr>
          <w:color w:val="000000"/>
        </w:rPr>
        <w:t>) šios dalies 1, 2, 3 punktuose išvardytų subjektų kontroliuojamos sveikatos priežiūros viešosios įstaigos;</w:t>
      </w:r>
    </w:p>
    <w:p>
      <w:pPr>
        <w:widowControl w:val="0"/>
        <w:suppressAutoHyphens/>
        <w:ind w:firstLine="567"/>
        <w:jc w:val="both"/>
        <w:rPr>
          <w:color w:val="000000"/>
        </w:rPr>
      </w:pPr>
      <w:r>
        <w:rPr>
          <w:color w:val="000000"/>
        </w:rPr>
        <w:t>5</w:t>
      </w:r>
      <w:r>
        <w:rPr>
          <w:color w:val="000000"/>
        </w:rPr>
        <w:t>) šios dalies 1, 2, 3 punktuose išvardytų subjektų kontroliuojamos aukštosios mokyklos ir mokslinių tyrimų institutai, kurių teisinė forma yra viešoji įstaiga;</w:t>
      </w:r>
    </w:p>
    <w:p>
      <w:pPr>
        <w:widowControl w:val="0"/>
        <w:suppressAutoHyphens/>
        <w:ind w:firstLine="567"/>
        <w:jc w:val="both"/>
        <w:rPr>
          <w:color w:val="000000"/>
        </w:rPr>
      </w:pPr>
      <w:r>
        <w:rPr>
          <w:color w:val="000000"/>
        </w:rPr>
        <w:t>6</w:t>
      </w:r>
      <w:r>
        <w:rPr>
          <w:color w:val="000000"/>
        </w:rPr>
        <w:t>) šios dalies 1, 2, 3 punktuose išvardytų subjektų kontroliuojamos bendrojo lavinimo mokyklos, profesinio mokymo įstaigos, kurių teisinė forma yra viešoji įstaiga;</w:t>
      </w:r>
    </w:p>
    <w:p>
      <w:pPr>
        <w:widowControl w:val="0"/>
        <w:suppressAutoHyphens/>
        <w:ind w:firstLine="567"/>
        <w:jc w:val="both"/>
        <w:rPr>
          <w:color w:val="000000"/>
        </w:rPr>
      </w:pPr>
      <w:r>
        <w:rPr>
          <w:color w:val="000000"/>
        </w:rPr>
        <w:t>7</w:t>
      </w:r>
      <w:r>
        <w:rPr>
          <w:color w:val="000000"/>
        </w:rPr>
        <w:t>) šios dalies 1, 2, 3 punktuose išvardytų subjektų kontroliuojamos socialinės globos įstaigos, kurių teisinė forma yra viešoji įstaiga;</w:t>
      </w:r>
    </w:p>
    <w:p>
      <w:pPr>
        <w:widowControl w:val="0"/>
        <w:suppressAutoHyphens/>
        <w:ind w:firstLine="567"/>
        <w:jc w:val="both"/>
        <w:rPr>
          <w:color w:val="000000"/>
        </w:rPr>
      </w:pPr>
      <w:r>
        <w:rPr>
          <w:color w:val="000000"/>
        </w:rPr>
        <w:t>8</w:t>
      </w:r>
      <w:r>
        <w:rPr>
          <w:color w:val="000000"/>
        </w:rPr>
        <w:t>) išteklių fondai;</w:t>
      </w:r>
    </w:p>
    <w:p>
      <w:pPr>
        <w:widowControl w:val="0"/>
        <w:suppressAutoHyphens/>
        <w:ind w:firstLine="567"/>
        <w:jc w:val="both"/>
        <w:rPr>
          <w:color w:val="000000"/>
        </w:rPr>
      </w:pPr>
      <w:r>
        <w:rPr>
          <w:color w:val="000000"/>
        </w:rPr>
        <w:t>9</w:t>
      </w:r>
      <w:r>
        <w:rPr>
          <w:color w:val="000000"/>
        </w:rPr>
        <w:t>) mokesčių fondai.“</w:t>
      </w:r>
    </w:p>
    <w:p>
      <w:pPr>
        <w:widowControl w:val="0"/>
        <w:suppressAutoHyphens/>
        <w:ind w:firstLine="567"/>
        <w:jc w:val="both"/>
        <w:rPr>
          <w:color w:val="000000"/>
        </w:rPr>
      </w:pPr>
      <w:r>
        <w:rPr>
          <w:color w:val="000000"/>
        </w:rPr>
        <w:t>6</w:t>
      </w:r>
      <w:r>
        <w:rPr>
          <w:color w:val="000000"/>
        </w:rPr>
        <w:t>. Pakeisti 2 straipsnio 24 dalį ir ją išdėstyti taip:</w:t>
      </w:r>
    </w:p>
    <w:p>
      <w:pPr>
        <w:widowControl w:val="0"/>
        <w:suppressAutoHyphens/>
        <w:ind w:firstLine="567"/>
        <w:jc w:val="both"/>
        <w:rPr>
          <w:color w:val="000000"/>
        </w:rPr>
      </w:pPr>
      <w:r>
        <w:rPr>
          <w:color w:val="000000"/>
        </w:rPr>
        <w:t>„</w:t>
      </w:r>
      <w:r>
        <w:rPr>
          <w:color w:val="000000"/>
        </w:rPr>
        <w:t>24</w:t>
      </w:r>
      <w:r>
        <w:rPr>
          <w:color w:val="000000"/>
        </w:rPr>
        <w:t xml:space="preserve">. </w:t>
      </w:r>
      <w:r>
        <w:rPr>
          <w:b/>
          <w:bCs/>
          <w:color w:val="000000"/>
        </w:rPr>
        <w:t xml:space="preserve">Viešojo sektoriaus subjekto finansinės būklės ataskaita </w:t>
      </w:r>
      <w:r>
        <w:rPr>
          <w:color w:val="000000"/>
        </w:rPr>
        <w:t>– finansinė ataskaita, kurioje rodomas visas viešojo sektoriaus subjekto turtas, finansavimo sumos, įsipareigojimai ir grynasis turtas paskutinę ataskaitinio laikotarpio dieną.“</w:t>
      </w:r>
    </w:p>
    <w:p>
      <w:pPr>
        <w:widowControl w:val="0"/>
        <w:suppressAutoHyphens/>
        <w:ind w:firstLine="567"/>
        <w:jc w:val="both"/>
        <w:rPr>
          <w:color w:val="000000"/>
        </w:rPr>
      </w:pPr>
      <w:r>
        <w:rPr>
          <w:color w:val="000000"/>
        </w:rPr>
        <w:t>7</w:t>
      </w:r>
      <w:r>
        <w:rPr>
          <w:color w:val="000000"/>
        </w:rPr>
        <w:t>. Pakeisti 2 straipsnio 25 dalį ir ją išdėstyti taip:</w:t>
      </w:r>
    </w:p>
    <w:p>
      <w:pPr>
        <w:widowControl w:val="0"/>
        <w:suppressAutoHyphens/>
        <w:ind w:firstLine="567"/>
        <w:jc w:val="both"/>
        <w:rPr>
          <w:color w:val="000000"/>
        </w:rPr>
      </w:pPr>
      <w:r>
        <w:rPr>
          <w:color w:val="000000"/>
        </w:rPr>
        <w:t>„</w:t>
      </w:r>
      <w:r>
        <w:rPr>
          <w:color w:val="000000"/>
        </w:rPr>
        <w:t>25</w:t>
      </w:r>
      <w:r>
        <w:rPr>
          <w:color w:val="000000"/>
        </w:rPr>
        <w:t xml:space="preserve">. </w:t>
      </w:r>
      <w:r>
        <w:rPr>
          <w:b/>
          <w:bCs/>
          <w:color w:val="000000"/>
        </w:rPr>
        <w:t xml:space="preserve">Viešojo sektoriaus subjekto finansinių ataskaitų aiškinamasis raštas </w:t>
      </w:r>
      <w:r>
        <w:rPr>
          <w:color w:val="000000"/>
        </w:rPr>
        <w:t>– finansinė ataskaita, kurioje detalizuojamos ir paaiškinamos viešojo sektoriaus subjekto finansinės būklės, veiklos rezultatų, pinigų srautų ir grynojo turto pokyčių ataskaitose nurodytos sumos, taip pat pateikiama papildoma reikšminga informacija, nenurodoma kitose finansinėse ataskaitose. Į aiškinamąjį raštą įtraukiama viešojo sektoriaus apskaitos ir finansinės atskaitomybės standartų reikalaujama pateikti informacija.“</w:t>
      </w:r>
    </w:p>
    <w:p>
      <w:pPr>
        <w:widowControl w:val="0"/>
        <w:suppressAutoHyphens/>
        <w:ind w:firstLine="567"/>
        <w:jc w:val="both"/>
        <w:rPr>
          <w:color w:val="000000"/>
        </w:rPr>
      </w:pPr>
      <w:r>
        <w:rPr>
          <w:color w:val="000000"/>
        </w:rPr>
        <w:t>8</w:t>
      </w:r>
      <w:r>
        <w:rPr>
          <w:color w:val="000000"/>
        </w:rPr>
        <w:t>. Pakeisti 2 straipsnio 30 dalį ir ją išdėstyti taip:</w:t>
      </w:r>
    </w:p>
    <w:p>
      <w:pPr>
        <w:widowControl w:val="0"/>
        <w:suppressAutoHyphens/>
        <w:ind w:firstLine="567"/>
        <w:jc w:val="both"/>
        <w:rPr>
          <w:color w:val="000000"/>
        </w:rPr>
      </w:pPr>
      <w:r>
        <w:rPr>
          <w:color w:val="000000"/>
        </w:rPr>
        <w:t>„</w:t>
      </w:r>
      <w:r>
        <w:rPr>
          <w:color w:val="000000"/>
        </w:rPr>
        <w:t>30</w:t>
      </w:r>
      <w:r>
        <w:rPr>
          <w:color w:val="000000"/>
        </w:rPr>
        <w:t xml:space="preserve">. </w:t>
      </w:r>
      <w:r>
        <w:rPr>
          <w:b/>
          <w:bCs/>
          <w:color w:val="000000"/>
        </w:rPr>
        <w:t xml:space="preserve">Viešojo sektoriaus subjektų grupės konsoliduotųjų biudžeto vykdymo ataskaitų rinkinys </w:t>
      </w:r>
      <w:r>
        <w:rPr>
          <w:color w:val="000000"/>
        </w:rPr>
        <w:t>– viešojo sektoriaus subjektų grupę sudarančių viešojo sektoriaus subjektų biudžeto vykdymo ataskaitos, finansų ministro nustatyta tvarka sujungtos ir teikiamos kaip vienas biudžeto vykdymo ataskaitų rinkinys.“</w:t>
      </w:r>
    </w:p>
    <w:p>
      <w:pPr>
        <w:widowControl w:val="0"/>
        <w:suppressAutoHyphens/>
        <w:ind w:firstLine="567"/>
        <w:jc w:val="both"/>
        <w:rPr>
          <w:color w:val="000000"/>
        </w:rPr>
      </w:pPr>
      <w:r>
        <w:rPr>
          <w:color w:val="000000"/>
        </w:rPr>
        <w:t>9</w:t>
      </w:r>
      <w:r>
        <w:rPr>
          <w:color w:val="000000"/>
        </w:rPr>
        <w:t>. Pakeisti 2 straipsnio 31 dalį ir ją išdėstyti taip:</w:t>
      </w:r>
    </w:p>
    <w:p>
      <w:pPr>
        <w:widowControl w:val="0"/>
        <w:suppressAutoHyphens/>
        <w:ind w:firstLine="567"/>
        <w:jc w:val="both"/>
        <w:rPr>
          <w:color w:val="000000"/>
        </w:rPr>
      </w:pPr>
      <w:r>
        <w:rPr>
          <w:color w:val="000000"/>
        </w:rPr>
        <w:t>„</w:t>
      </w:r>
      <w:r>
        <w:rPr>
          <w:color w:val="000000"/>
        </w:rPr>
        <w:t>31</w:t>
      </w:r>
      <w:r>
        <w:rPr>
          <w:color w:val="000000"/>
        </w:rPr>
        <w:t xml:space="preserve">. </w:t>
      </w:r>
      <w:r>
        <w:rPr>
          <w:b/>
          <w:bCs/>
          <w:color w:val="000000"/>
        </w:rPr>
        <w:t xml:space="preserve">Viešojo sektoriaus subjektų grupės konsoliduotųjų finansinių ataskaitų rinkinys </w:t>
      </w:r>
      <w:r>
        <w:rPr>
          <w:color w:val="000000"/>
        </w:rPr>
        <w:t>– viešojo sektoriaus subjektų grupę sudarančių viešojo sektoriaus subjektų finansinės ataskaitos, sujungtos viešojo sektoriaus apskaitos ir finansinės atskaitomybės standartų nustatyta tvarka ir teikiamos kaip vienas finansinių ataskaitų rinkinys.“</w:t>
      </w:r>
    </w:p>
    <w:p>
      <w:pPr>
        <w:widowControl w:val="0"/>
        <w:suppressAutoHyphens/>
        <w:ind w:firstLine="567"/>
        <w:jc w:val="both"/>
        <w:rPr>
          <w:color w:val="000000"/>
        </w:rPr>
      </w:pPr>
      <w:r>
        <w:rPr>
          <w:color w:val="000000"/>
        </w:rPr>
        <w:t>10</w:t>
      </w:r>
      <w:r>
        <w:rPr>
          <w:color w:val="000000"/>
        </w:rPr>
        <w:t>. Pakeisti 2 straipsnio 34 dalį ir ją išdėstyti taip:</w:t>
      </w:r>
    </w:p>
    <w:p>
      <w:pPr>
        <w:widowControl w:val="0"/>
        <w:suppressAutoHyphens/>
        <w:ind w:firstLine="567"/>
        <w:jc w:val="both"/>
        <w:rPr>
          <w:color w:val="000000"/>
        </w:rPr>
      </w:pPr>
      <w:r>
        <w:rPr>
          <w:color w:val="000000"/>
        </w:rPr>
        <w:t>„</w:t>
      </w:r>
      <w:r>
        <w:rPr>
          <w:color w:val="000000"/>
        </w:rPr>
        <w:t>34</w:t>
      </w:r>
      <w:r>
        <w:rPr>
          <w:color w:val="000000"/>
        </w:rPr>
        <w:t xml:space="preserve">. </w:t>
      </w:r>
      <w:r>
        <w:rPr>
          <w:b/>
          <w:bCs/>
          <w:color w:val="000000"/>
        </w:rPr>
        <w:t>Viešojo sektoriaus subjekto kontroliuojamas viešojo sektoriaus subjektas</w:t>
      </w:r>
      <w:r>
        <w:rPr>
          <w:color w:val="000000"/>
        </w:rPr>
        <w:t xml:space="preserve"> – biudžetinė įstaiga, kuri atskaitinga viešojo sektoriaus subjektui ir (arba) kurioje viešojo sektoriaus subjektas įgyvendina steigėjo funkcijas, taip pat tokiai biudžetinei įstaigai pavaldi biudžetinė įstaiga, viešosios įstaigos, nurodytos šio įstatymo 2 straipsnio 22 dalies 4–7 punktuose, kurioms viešojo sektoriaus subjektas daro lemiamą poveikį. Lemiamas poveikis yra tada, kai viešojo sektoriaus subjektas viešosios įstaigos dalyvių susirinkime turi daugiau kaip 50 procentų balsų priimant sprendimus ir (arba) kitais viešojo sektoriaus apskaitos ir finansinės atskaitomybės standartų nustatytais atvejais.“</w:t>
      </w:r>
    </w:p>
    <w:p>
      <w:pPr>
        <w:widowControl w:val="0"/>
        <w:suppressAutoHyphens/>
        <w:ind w:firstLine="567"/>
        <w:jc w:val="both"/>
        <w:rPr>
          <w:color w:val="000000"/>
        </w:rPr>
      </w:pPr>
      <w:r>
        <w:rPr>
          <w:color w:val="000000"/>
        </w:rPr>
        <w:t>11</w:t>
      </w:r>
      <w:r>
        <w:rPr>
          <w:color w:val="000000"/>
        </w:rPr>
        <w:t>. Pakeisti 2 straipsnio 40 dalį ir ją išdėstyti taip:</w:t>
      </w:r>
    </w:p>
    <w:p>
      <w:pPr>
        <w:widowControl w:val="0"/>
        <w:suppressAutoHyphens/>
        <w:ind w:firstLine="567"/>
        <w:jc w:val="both"/>
        <w:rPr>
          <w:color w:val="000000"/>
        </w:rPr>
      </w:pPr>
      <w:r>
        <w:rPr>
          <w:color w:val="000000"/>
        </w:rPr>
        <w:t>„</w:t>
      </w:r>
      <w:r>
        <w:rPr>
          <w:color w:val="000000"/>
        </w:rPr>
        <w:t>40</w:t>
      </w:r>
      <w:r>
        <w:rPr>
          <w:color w:val="000000"/>
        </w:rPr>
        <w:t>. Kitos šiame įstatyme vartojamos sąvokos suprantamos taip, kaip jos apibrėžtos Buhalterinės apskaitos įstatyme, Valstybės iždo įstatyme, Biudžeto sandaros įstatyme, Valstybinio socialinio draudimo įstatyme, Valstybinio socialinio draudimo fondo biudžeto sandaros įstatyme, Sveikatos draudimo įstatyme, Valstybės kontrolės įstatyme, Mokslo ir studijų įstatyme, Švietimo įstatyme, Profesinio mokymo įstatyme ir Socialinių paslaugų įstatyme.“</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15 straipsnio pakeitimas</w:t>
      </w:r>
    </w:p>
    <w:p>
      <w:pPr>
        <w:widowControl w:val="0"/>
        <w:suppressAutoHyphens/>
        <w:ind w:firstLine="567"/>
        <w:jc w:val="both"/>
        <w:rPr>
          <w:color w:val="000000"/>
        </w:rPr>
      </w:pPr>
      <w:r>
        <w:rPr>
          <w:color w:val="000000"/>
        </w:rPr>
        <w:t>Pakeisti 15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15</w:t>
      </w:r>
      <w:r>
        <w:rPr>
          <w:b/>
          <w:bCs/>
          <w:color w:val="000000"/>
        </w:rPr>
        <w:t xml:space="preserve"> straipsnis. </w:t>
      </w:r>
      <w:r>
        <w:rPr>
          <w:b/>
          <w:bCs/>
          <w:color w:val="000000"/>
        </w:rPr>
        <w:t>Ataskaitų rinkinių lygiai</w:t>
      </w:r>
    </w:p>
    <w:p>
      <w:pPr>
        <w:widowControl w:val="0"/>
        <w:suppressAutoHyphens/>
        <w:ind w:firstLine="567"/>
        <w:jc w:val="both"/>
        <w:rPr>
          <w:color w:val="000000"/>
        </w:rPr>
      </w:pPr>
      <w:r>
        <w:rPr>
          <w:color w:val="000000"/>
        </w:rPr>
        <w:t>Ataskaitų rinkiniai yra aukštesniojo ir žemesniojo lygio. Žemesniojo lygio ataskaitų rinkinius rengia kiekvienas viešojo sektoriaus subjektas ir viešojo sektoriaus subjektų grupė. Aukštesniojo lygio tarpinių ir metinių konsoliduotųjų biudžeto vykdymo ir metinių konsoliduotųjų finansinių ataskaitų rinkinius rengia valstybė ir savivaldybės.“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17 straipsnio pakeitimas</w:t>
      </w:r>
    </w:p>
    <w:p>
      <w:pPr>
        <w:widowControl w:val="0"/>
        <w:suppressAutoHyphens/>
        <w:ind w:firstLine="567"/>
        <w:jc w:val="both"/>
        <w:rPr>
          <w:color w:val="000000"/>
        </w:rPr>
      </w:pPr>
      <w:r>
        <w:rPr>
          <w:color w:val="000000"/>
        </w:rPr>
        <w:t>Pakeisti 17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17</w:t>
      </w:r>
      <w:r>
        <w:rPr>
          <w:b/>
          <w:bCs/>
          <w:color w:val="000000"/>
        </w:rPr>
        <w:t xml:space="preserve"> straipsnis. </w:t>
      </w:r>
      <w:r>
        <w:rPr>
          <w:b/>
          <w:bCs/>
          <w:color w:val="000000"/>
        </w:rPr>
        <w:t>Viešojo sektoriaus subjekto tarpinių ataskaitų rinkinio sudėtis</w:t>
      </w:r>
    </w:p>
    <w:p>
      <w:pPr>
        <w:widowControl w:val="0"/>
        <w:suppressAutoHyphens/>
        <w:ind w:firstLine="567"/>
        <w:jc w:val="both"/>
        <w:rPr>
          <w:color w:val="000000"/>
        </w:rPr>
      </w:pPr>
      <w:r>
        <w:rPr>
          <w:color w:val="000000"/>
        </w:rPr>
        <w:t>Viešojo sektoriaus subjekto tarpinių ataskaitų rinkinio (toliau – tarpinės ataskaitos) sudėtį nustato finansų ministras.“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19 straipsnio 5 ir 6 dalių pakeitimas</w:t>
      </w:r>
    </w:p>
    <w:p>
      <w:pPr>
        <w:widowControl w:val="0"/>
        <w:suppressAutoHyphens/>
        <w:ind w:firstLine="567"/>
        <w:jc w:val="both"/>
        <w:rPr>
          <w:color w:val="000000"/>
        </w:rPr>
      </w:pPr>
      <w:r>
        <w:rPr>
          <w:color w:val="000000"/>
        </w:rPr>
        <w:t>1</w:t>
      </w:r>
      <w:r>
        <w:rPr>
          <w:color w:val="000000"/>
        </w:rPr>
        <w:t>. Pakeisti 19 straipsnio 5 dalį ir ją išdėstyti taip:</w:t>
      </w:r>
    </w:p>
    <w:p>
      <w:pPr>
        <w:widowControl w:val="0"/>
        <w:suppressAutoHyphens/>
        <w:ind w:firstLine="567"/>
        <w:jc w:val="both"/>
        <w:rPr>
          <w:color w:val="000000"/>
        </w:rPr>
      </w:pPr>
      <w:r>
        <w:rPr>
          <w:color w:val="000000"/>
        </w:rPr>
        <w:t>„</w:t>
      </w:r>
      <w:r>
        <w:rPr>
          <w:color w:val="000000"/>
        </w:rPr>
        <w:t>5</w:t>
      </w:r>
      <w:r>
        <w:rPr>
          <w:color w:val="000000"/>
        </w:rPr>
        <w:t>. Išteklių fondai, išskyrus Valstybinio socialinio draudimo fondą ir Privalomojo sveikatos draudimo fondą, mokesčių fondai ir viešojo sektoriaus subjektai, nurodyti šio įstatymo 2 straipsnio 22 dalies 4–7 punktuose, nesudaro biudžeto vykdymo ataskaitų, jeigu kituose teisės aktuose nenustatyta kitaip.“</w:t>
      </w:r>
    </w:p>
    <w:p>
      <w:pPr>
        <w:widowControl w:val="0"/>
        <w:suppressAutoHyphens/>
        <w:ind w:firstLine="567"/>
        <w:jc w:val="both"/>
        <w:rPr>
          <w:color w:val="000000"/>
        </w:rPr>
      </w:pPr>
      <w:r>
        <w:rPr>
          <w:color w:val="000000"/>
        </w:rPr>
        <w:t>2</w:t>
      </w:r>
      <w:r>
        <w:rPr>
          <w:color w:val="000000"/>
        </w:rPr>
        <w:t>. Pakeisti 19 straipsnio 6 dalį ir ją išdėstyti taip:</w:t>
      </w:r>
    </w:p>
    <w:p>
      <w:pPr>
        <w:widowControl w:val="0"/>
        <w:suppressAutoHyphens/>
        <w:ind w:firstLine="567"/>
        <w:jc w:val="both"/>
        <w:rPr>
          <w:color w:val="000000"/>
        </w:rPr>
      </w:pPr>
      <w:r>
        <w:rPr>
          <w:color w:val="000000"/>
        </w:rPr>
        <w:t>„</w:t>
      </w:r>
      <w:r>
        <w:rPr>
          <w:color w:val="000000"/>
        </w:rPr>
        <w:t>6</w:t>
      </w:r>
      <w:r>
        <w:rPr>
          <w:color w:val="000000"/>
        </w:rPr>
        <w:t>. Viešojo sektoriaus subjektai, kurie į savo finansines ataskaitas įtraukia įmonių ir įstaigų, nurodytų šio įstatymo 1 straipsnio 3 dalyje, bei Lietuvos banko finansinius duomenis, gali reikalauti, kad įmonės ir įstaigos bei Lietuvos bankas jiems pateiktų finansinę informaciją, reikalingą viešojo sektoriaus subjektų finansinėms ataskaitoms parengti.“</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20 straipsnio 2 dalies 4 punkto pakeitimas</w:t>
      </w:r>
    </w:p>
    <w:p>
      <w:pPr>
        <w:widowControl w:val="0"/>
        <w:suppressAutoHyphens/>
        <w:ind w:firstLine="567"/>
        <w:jc w:val="both"/>
        <w:rPr>
          <w:color w:val="000000"/>
        </w:rPr>
      </w:pPr>
      <w:r>
        <w:rPr>
          <w:color w:val="000000"/>
        </w:rPr>
        <w:t>Pakeisti 20 straipsnio 2 dalies 4 punktą ir jį išdėstyti taip:</w:t>
      </w:r>
    </w:p>
    <w:p>
      <w:pPr>
        <w:widowControl w:val="0"/>
        <w:suppressAutoHyphens/>
        <w:ind w:firstLine="567"/>
        <w:jc w:val="both"/>
        <w:rPr>
          <w:color w:val="000000"/>
        </w:rPr>
      </w:pPr>
      <w:r>
        <w:rPr>
          <w:color w:val="000000"/>
        </w:rPr>
        <w:t>„</w:t>
      </w:r>
      <w:r>
        <w:rPr>
          <w:color w:val="000000"/>
        </w:rPr>
        <w:t>4</w:t>
      </w:r>
      <w:r>
        <w:rPr>
          <w:color w:val="000000"/>
        </w:rPr>
        <w:t>) kad konsoliduotojoje ataskaitoje pateikiami duomenys išreiškiami tūkstančiais Lietuvos Respublikos piniginių vienetų.“</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21 straipsnio 1, 3 ir 6 dalių pakeitimas</w:t>
      </w:r>
    </w:p>
    <w:p>
      <w:pPr>
        <w:widowControl w:val="0"/>
        <w:suppressAutoHyphens/>
        <w:ind w:firstLine="567"/>
        <w:jc w:val="both"/>
        <w:rPr>
          <w:color w:val="000000"/>
        </w:rPr>
      </w:pPr>
      <w:r>
        <w:rPr>
          <w:color w:val="000000"/>
        </w:rPr>
        <w:t>1</w:t>
      </w:r>
      <w:r>
        <w:rPr>
          <w:color w:val="000000"/>
        </w:rPr>
        <w:t>. Pakeisti 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Viešojo sektoriaus subjektai sudaro atitinkamų metų pirmo ketvirčio, pusmečio, devynių mėnesių tarpines ataskaitas, o prireikus arba kitų teisės aktų nustatytais atvejais – kitų ataskaitinių laikotarpių.“</w:t>
      </w:r>
    </w:p>
    <w:p>
      <w:pPr>
        <w:widowControl w:val="0"/>
        <w:suppressAutoHyphens/>
        <w:ind w:firstLine="567"/>
        <w:jc w:val="both"/>
        <w:rPr>
          <w:color w:val="000000"/>
        </w:rPr>
      </w:pPr>
      <w:r>
        <w:rPr>
          <w:color w:val="000000"/>
        </w:rPr>
        <w:t>2</w:t>
      </w:r>
      <w:r>
        <w:rPr>
          <w:color w:val="000000"/>
        </w:rPr>
        <w:t>. Pakeisti 21 straipsnio 3 dalį ir ją išdėstyti taip:</w:t>
      </w:r>
    </w:p>
    <w:p>
      <w:pPr>
        <w:widowControl w:val="0"/>
        <w:suppressAutoHyphens/>
        <w:ind w:firstLine="567"/>
        <w:jc w:val="both"/>
        <w:rPr>
          <w:color w:val="000000"/>
        </w:rPr>
      </w:pPr>
      <w:r>
        <w:rPr>
          <w:color w:val="000000"/>
        </w:rPr>
        <w:t>„</w:t>
      </w:r>
      <w:r>
        <w:rPr>
          <w:color w:val="000000"/>
        </w:rPr>
        <w:t>3</w:t>
      </w:r>
      <w:r>
        <w:rPr>
          <w:color w:val="000000"/>
        </w:rPr>
        <w:t>. Jeigu yra priimtas sprendimas likviduoti ar reorganizuoti viešojo sektoriaus subjektą, tas viešojo sektoriaus subjektas turi parengti finansinės būklės ataskaitą ir biudžeto išlaidų sąmatos vykdymo ataskaitą pagal sprendimo likviduoti ar reorganizuoti viešojo sektoriaus subjektą priėmimo dienos duomenis ir pagal faktinio likvidavimo ar reorganizavimo dienos duomenis.“</w:t>
      </w:r>
    </w:p>
    <w:p>
      <w:pPr>
        <w:widowControl w:val="0"/>
        <w:suppressAutoHyphens/>
        <w:ind w:firstLine="567"/>
        <w:jc w:val="both"/>
        <w:rPr>
          <w:color w:val="000000"/>
        </w:rPr>
      </w:pPr>
      <w:r>
        <w:rPr>
          <w:color w:val="000000"/>
        </w:rPr>
        <w:t>3</w:t>
      </w:r>
      <w:r>
        <w:rPr>
          <w:color w:val="000000"/>
        </w:rPr>
        <w:t>. Pakeisti 21 straipsnio 6 dalį ir ją išdėstyti taip:</w:t>
      </w:r>
    </w:p>
    <w:p>
      <w:pPr>
        <w:widowControl w:val="0"/>
        <w:suppressAutoHyphens/>
        <w:ind w:firstLine="567"/>
        <w:jc w:val="both"/>
        <w:rPr>
          <w:color w:val="000000"/>
        </w:rPr>
      </w:pPr>
      <w:r>
        <w:rPr>
          <w:color w:val="000000"/>
        </w:rPr>
        <w:t>„</w:t>
      </w:r>
      <w:r>
        <w:rPr>
          <w:color w:val="000000"/>
        </w:rPr>
        <w:t>6</w:t>
      </w:r>
      <w:r>
        <w:rPr>
          <w:color w:val="000000"/>
        </w:rPr>
        <w:t>. Nukrypti nuo viešojo sektoriaus apskaitos ir finansinės atskaitomybės standartų galima tik esant aplinkybėms, nepriklausančioms nuo viešojo sektoriaus subjekto valios, suderinus su Lietuvos Respublikos finansų ministerija (toliau – Finansų ministerija). Informacija apie kiekvieną nukrypimą nuo viešojo sektoriaus apskaitos ir finansinės atskaitomybės standartų, apie nukrypimo priežastis ir poveikį viešojo sektoriaus subjekto turtui, finansavimo sumoms, įsipareigojimams, pajamoms ir sąnaudoms pateikiama finansinių ataskaitų aiškinamajame rašte.“</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27 straipsnio pakeitimas</w:t>
      </w:r>
    </w:p>
    <w:p>
      <w:pPr>
        <w:widowControl w:val="0"/>
        <w:suppressAutoHyphens/>
        <w:ind w:firstLine="567"/>
        <w:jc w:val="both"/>
        <w:rPr>
          <w:color w:val="000000"/>
        </w:rPr>
      </w:pPr>
      <w:r>
        <w:rPr>
          <w:color w:val="000000"/>
        </w:rPr>
        <w:t>Pakeisti 27 straipsnį ir jį išdėstyti taip:</w:t>
      </w:r>
    </w:p>
    <w:p>
      <w:pPr>
        <w:ind w:firstLine="567"/>
        <w:jc w:val="both"/>
      </w:pPr>
    </w:p>
    <w:p>
      <w:pPr>
        <w:keepLines/>
        <w:widowControl w:val="0"/>
        <w:suppressAutoHyphens/>
        <w:ind w:left="2400" w:hanging="1833"/>
        <w:jc w:val="both"/>
        <w:rPr>
          <w:b/>
          <w:bCs/>
          <w:color w:val="000000"/>
        </w:rPr>
      </w:pPr>
      <w:r>
        <w:rPr>
          <w:b/>
          <w:bCs/>
          <w:color w:val="000000"/>
        </w:rPr>
        <w:t>„</w:t>
      </w:r>
      <w:r>
        <w:rPr>
          <w:b/>
          <w:bCs/>
          <w:color w:val="000000"/>
        </w:rPr>
        <w:t>27</w:t>
      </w:r>
      <w:r>
        <w:rPr>
          <w:b/>
          <w:bCs/>
          <w:color w:val="000000"/>
        </w:rPr>
        <w:t xml:space="preserve"> straipsnis. </w:t>
      </w:r>
      <w:r>
        <w:rPr>
          <w:b/>
          <w:bCs/>
          <w:color w:val="000000"/>
        </w:rPr>
        <w:t>Konsoliduotųjų finansinių ataskaitų rinkinio ir nacionalinio finansinių ataskaitų rinkinio sudėtis</w:t>
      </w:r>
    </w:p>
    <w:p>
      <w:pPr>
        <w:widowControl w:val="0"/>
        <w:suppressAutoHyphens/>
        <w:ind w:firstLine="567"/>
        <w:jc w:val="both"/>
        <w:rPr>
          <w:color w:val="000000"/>
        </w:rPr>
      </w:pPr>
      <w:r>
        <w:rPr>
          <w:color w:val="000000"/>
        </w:rPr>
        <w:t>Žemesniojo ir aukštesniojo lygio metinių konsoliduotųjų finansinių ataskaitų rinkinį ir nacionalinį finansinių ataskaitų rinkinį sudaro šio įstatymo 26 straipsnyje nurodytos konsoliduotosios finansinės ataskaitos.“</w:t>
      </w:r>
    </w:p>
    <w:p>
      <w:pPr>
        <w:ind w:firstLine="567"/>
        <w:jc w:val="both"/>
      </w:pPr>
    </w:p>
    <w:p>
      <w:pPr>
        <w:keepLines/>
        <w:widowControl w:val="0"/>
        <w:suppressAutoHyphens/>
        <w:ind w:firstLine="567"/>
        <w:jc w:val="both"/>
        <w:rPr>
          <w:b/>
          <w:bCs/>
          <w:color w:val="000000"/>
        </w:rPr>
      </w:pPr>
      <w:r>
        <w:rPr>
          <w:b/>
          <w:bCs/>
          <w:color w:val="000000"/>
        </w:rPr>
        <w:br w:type="page"/>
      </w:r>
      <w:r>
        <w:rPr>
          <w:b/>
          <w:bCs/>
          <w:color w:val="000000"/>
        </w:rPr>
        <w:t>9</w:t>
      </w:r>
      <w:r>
        <w:rPr>
          <w:b/>
          <w:bCs/>
          <w:color w:val="000000"/>
        </w:rPr>
        <w:t xml:space="preserve"> straipsnis. </w:t>
      </w:r>
      <w:r>
        <w:rPr>
          <w:b/>
          <w:bCs/>
          <w:color w:val="000000"/>
        </w:rPr>
        <w:t>29 straipsnio pakeitimas</w:t>
      </w:r>
    </w:p>
    <w:p>
      <w:pPr>
        <w:widowControl w:val="0"/>
        <w:suppressAutoHyphens/>
        <w:ind w:firstLine="567"/>
        <w:jc w:val="both"/>
        <w:rPr>
          <w:color w:val="000000"/>
        </w:rPr>
      </w:pPr>
      <w:r>
        <w:rPr>
          <w:color w:val="000000"/>
        </w:rPr>
        <w:t>Pakeisti 29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29</w:t>
      </w:r>
      <w:r>
        <w:rPr>
          <w:b/>
          <w:bCs/>
          <w:color w:val="000000"/>
        </w:rPr>
        <w:t xml:space="preserve"> straipsnis. </w:t>
      </w:r>
      <w:r>
        <w:rPr>
          <w:b/>
          <w:bCs/>
          <w:color w:val="000000"/>
        </w:rPr>
        <w:t>Konsoliduotųjų biudžeto vykdymo ataskaitų rinkinio sudėtis</w:t>
      </w:r>
    </w:p>
    <w:p>
      <w:pPr>
        <w:widowControl w:val="0"/>
        <w:suppressAutoHyphens/>
        <w:ind w:firstLine="567"/>
        <w:jc w:val="both"/>
        <w:rPr>
          <w:color w:val="000000"/>
        </w:rPr>
      </w:pPr>
      <w:r>
        <w:rPr>
          <w:color w:val="000000"/>
        </w:rPr>
        <w:t>Žemesniojo lygio konsoliduotųjų biudžeto vykdymo ataskaitų rinkinį sudaro šio įstatymo 28 straipsnio 1 dalyje nurodytos konsoliduotosios ataskaitos, o aukštesniojo lygio – šio įstatymo 28 straipsnio 2 dalyje nurodytos konsoliduotosios ataskaitos.“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30 straipsnio pakeitimas ir papildymas</w:t>
      </w:r>
    </w:p>
    <w:p>
      <w:pPr>
        <w:widowControl w:val="0"/>
        <w:suppressAutoHyphens/>
        <w:ind w:firstLine="567"/>
        <w:jc w:val="both"/>
        <w:rPr>
          <w:color w:val="000000"/>
        </w:rPr>
      </w:pPr>
      <w:r>
        <w:rPr>
          <w:color w:val="000000"/>
        </w:rPr>
        <w:t>Pakeisti ir papildyti 30 straipsnį ir jį išdėstyti taip:</w:t>
      </w:r>
    </w:p>
    <w:p>
      <w:pPr>
        <w:ind w:firstLine="567"/>
        <w:jc w:val="both"/>
      </w:pPr>
    </w:p>
    <w:p>
      <w:pPr>
        <w:keepLines/>
        <w:widowControl w:val="0"/>
        <w:suppressAutoHyphens/>
        <w:ind w:firstLine="567"/>
        <w:jc w:val="both"/>
        <w:rPr>
          <w:b/>
          <w:bCs/>
          <w:color w:val="000000"/>
        </w:rPr>
      </w:pPr>
      <w:r>
        <w:rPr>
          <w:b/>
          <w:bCs/>
          <w:color w:val="000000"/>
        </w:rPr>
        <w:t>„</w:t>
      </w:r>
      <w:r>
        <w:rPr>
          <w:b/>
          <w:bCs/>
          <w:color w:val="000000"/>
        </w:rPr>
        <w:t>30</w:t>
      </w:r>
      <w:r>
        <w:rPr>
          <w:b/>
          <w:bCs/>
          <w:color w:val="000000"/>
        </w:rPr>
        <w:t xml:space="preserve"> straipsnis. </w:t>
      </w:r>
      <w:r>
        <w:rPr>
          <w:b/>
          <w:bCs/>
          <w:color w:val="000000"/>
        </w:rPr>
        <w:t>Ataskaitų rinkinių auditas</w:t>
      </w:r>
    </w:p>
    <w:p>
      <w:pPr>
        <w:widowControl w:val="0"/>
        <w:suppressAutoHyphens/>
        <w:ind w:firstLine="567"/>
        <w:jc w:val="both"/>
        <w:rPr>
          <w:color w:val="000000"/>
        </w:rPr>
      </w:pPr>
      <w:r>
        <w:rPr>
          <w:color w:val="000000"/>
        </w:rPr>
        <w:t>1</w:t>
      </w:r>
      <w:r>
        <w:rPr>
          <w:color w:val="000000"/>
        </w:rPr>
        <w:t>. Viešojo sektoriaus subjekto metinių ataskaitų rinkinių ir (arba) viešojo sektoriaus subjektų grupių metinių konsoliduotųjų ataskaitų rinkinių auditą ir (arba) patikrinimą atlieka Lietuvos Respublikos valstybės kontrolė, savivaldybių kontrolieriai (savivaldybių kontrolės ir audito tarnybos), audito įmonės pagal Valstybės kontrolės įstatymą, Biudžeto sandaros įstatymą, Vietos savivaldos įstatymą, Valstybinio socialinio draudimo fondo biudžeto sandaros įstatymą, Audito įstatymą ir kitus teisės aktus.</w:t>
      </w:r>
    </w:p>
    <w:p>
      <w:pPr>
        <w:widowControl w:val="0"/>
        <w:suppressAutoHyphens/>
        <w:ind w:firstLine="567"/>
        <w:jc w:val="both"/>
        <w:rPr>
          <w:color w:val="000000"/>
        </w:rPr>
      </w:pPr>
      <w:r>
        <w:rPr>
          <w:color w:val="000000"/>
        </w:rPr>
        <w:t>2</w:t>
      </w:r>
      <w:r>
        <w:rPr>
          <w:color w:val="000000"/>
        </w:rPr>
        <w:t>. Nacionalinio ataskaitų rinkinio auditą atlieka Lietuvos Respublikos valstybės kontrolė.“</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31 straipsnio 1 ir 2 dalių pakeitimas</w:t>
      </w:r>
    </w:p>
    <w:p>
      <w:pPr>
        <w:widowControl w:val="0"/>
        <w:suppressAutoHyphens/>
        <w:ind w:firstLine="567"/>
        <w:jc w:val="both"/>
        <w:rPr>
          <w:color w:val="000000"/>
        </w:rPr>
      </w:pPr>
      <w:r>
        <w:rPr>
          <w:color w:val="000000"/>
        </w:rPr>
        <w:t>1</w:t>
      </w:r>
      <w:r>
        <w:rPr>
          <w:color w:val="000000"/>
        </w:rPr>
        <w:t>. Pakeisti 31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Viešojo sektoriaus subjekto ataskaitas pasirašo viešojo sektoriaus subjekto vadovas arba jo įgaliotas administracijos vadovas teisės aktų nustatyta tvarka.“</w:t>
      </w:r>
    </w:p>
    <w:p>
      <w:pPr>
        <w:widowControl w:val="0"/>
        <w:suppressAutoHyphens/>
        <w:ind w:firstLine="567"/>
        <w:jc w:val="both"/>
        <w:rPr>
          <w:color w:val="000000"/>
        </w:rPr>
      </w:pPr>
      <w:r>
        <w:rPr>
          <w:color w:val="000000"/>
        </w:rPr>
        <w:t>2</w:t>
      </w:r>
      <w:r>
        <w:rPr>
          <w:color w:val="000000"/>
        </w:rPr>
        <w:t>. Pakeisti 31 straipsnio 2 dalį ir ją išdėstyti taip:</w:t>
      </w:r>
    </w:p>
    <w:p>
      <w:pPr>
        <w:widowControl w:val="0"/>
        <w:suppressAutoHyphens/>
        <w:ind w:firstLine="567"/>
        <w:jc w:val="both"/>
        <w:rPr>
          <w:color w:val="000000"/>
        </w:rPr>
      </w:pPr>
      <w:r>
        <w:rPr>
          <w:color w:val="000000"/>
        </w:rPr>
        <w:t>„</w:t>
      </w:r>
      <w:r>
        <w:rPr>
          <w:color w:val="000000"/>
        </w:rPr>
        <w:t>2</w:t>
      </w:r>
      <w:r>
        <w:rPr>
          <w:color w:val="000000"/>
        </w:rPr>
        <w:t>. Viešojo sektoriaus subjektų grupės konsoliduotąsias ataskaitas pasirašo teisės aktų nustatyto (nustatytų) viešojo sektoriaus subjekto (subjektų) vadovas (vadovai) arba jo (jų) įgaliotas (įgalioti) administracijos vadovas (vadovai) teisės aktų nustatyta tvarka.“</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32 straipsnio 1 dalies pakeitimas ir 6 dalies pripažinimas netekusia galios</w:t>
      </w:r>
    </w:p>
    <w:p>
      <w:pPr>
        <w:widowControl w:val="0"/>
        <w:suppressAutoHyphens/>
        <w:ind w:firstLine="567"/>
        <w:jc w:val="both"/>
        <w:rPr>
          <w:color w:val="000000"/>
        </w:rPr>
      </w:pPr>
      <w:r>
        <w:rPr>
          <w:color w:val="000000"/>
        </w:rPr>
        <w:t>1</w:t>
      </w:r>
      <w:r>
        <w:rPr>
          <w:color w:val="000000"/>
        </w:rPr>
        <w:t>. Pakeisti 32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Viešojo sektoriaus subjektų grupės subjektai metinių ir tarpinių ataskaitų rinkinius teikia už atitinkamos viešojo sektoriaus subjektų grupės konsoliduotųjų ataskaitų rinkinio parengimą atsakingam viešojo sektoriaus subjektui finansų ministro nustatyta tvarka. Už metinių ataskaitų ir (arba) konsoliduotųjų ataskaitų rinkinių, kurių auditus teisės aktų nustatyta tvarka atlieka Lietuvos Respublikos valstybės kontrolė arba savivaldybių kontrolieriai (savivaldybių kontrolės ir audito tarnybos), parengimą atsakingi viešojo sektoriaus subjektai šiuos rinkinius teikia Lietuvos Respublikos valstybės kontrolei arba savivaldybių kontrolieriams (savivaldybių kontrolės ir audito tarnyboms). Metinių viešojo sektoriaus subjektų grupių konsoliduotųjų ataskaitų rinkinius įstatymų nustatytais atvejais kartu su auditoriaus (valstybinio audito) išvada ir išvada apie ataskaitų rinkinių patikrinimą teikia už šių rinkinių parengimą atsakingi viešojo sektoriaus subjektai Finansų ministerijai finansų ministro nustatyta tvarka ir su Lietuvos Respublikos valstybės kontrole (auditą atliekančia įmone ar institucija) suderintais terminais.“</w:t>
      </w:r>
    </w:p>
    <w:p>
      <w:pPr>
        <w:widowControl w:val="0"/>
        <w:suppressAutoHyphens/>
        <w:ind w:firstLine="567"/>
        <w:jc w:val="both"/>
        <w:rPr>
          <w:color w:val="000000"/>
        </w:rPr>
      </w:pPr>
      <w:r>
        <w:rPr>
          <w:color w:val="000000"/>
        </w:rPr>
        <w:t>2</w:t>
      </w:r>
      <w:r>
        <w:rPr>
          <w:color w:val="000000"/>
        </w:rPr>
        <w:t>. 32 straipsnio 6 dalį pripažinti netekusia galios.</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33 straipsnio pakeitimas</w:t>
      </w:r>
    </w:p>
    <w:p>
      <w:pPr>
        <w:widowControl w:val="0"/>
        <w:suppressAutoHyphens/>
        <w:ind w:firstLine="567"/>
        <w:jc w:val="both"/>
        <w:rPr>
          <w:color w:val="000000"/>
        </w:rPr>
      </w:pPr>
      <w:r>
        <w:rPr>
          <w:color w:val="000000"/>
        </w:rPr>
        <w:t>Pakeisti 33 straipsnį ir jį išdėstyti taip:</w:t>
      </w:r>
    </w:p>
    <w:p>
      <w:pPr>
        <w:ind w:firstLine="567"/>
        <w:jc w:val="both"/>
      </w:pPr>
    </w:p>
    <w:p>
      <w:pPr>
        <w:ind w:firstLine="567"/>
        <w:jc w:val="both"/>
      </w:pPr>
    </w:p>
    <w:p>
      <w:pPr>
        <w:keepLines/>
        <w:widowControl w:val="0"/>
        <w:suppressAutoHyphens/>
        <w:ind w:firstLine="567"/>
        <w:jc w:val="both"/>
        <w:rPr>
          <w:b/>
          <w:bCs/>
          <w:color w:val="000000"/>
        </w:rPr>
      </w:pPr>
      <w:r>
        <w:rPr>
          <w:b/>
          <w:bCs/>
          <w:color w:val="000000"/>
        </w:rPr>
        <w:t>„</w:t>
      </w:r>
      <w:r>
        <w:rPr>
          <w:b/>
          <w:bCs/>
          <w:color w:val="000000"/>
        </w:rPr>
        <w:t>33</w:t>
      </w:r>
      <w:r>
        <w:rPr>
          <w:b/>
          <w:bCs/>
          <w:color w:val="000000"/>
        </w:rPr>
        <w:t xml:space="preserve"> straipsnis. </w:t>
      </w:r>
      <w:r>
        <w:rPr>
          <w:b/>
          <w:bCs/>
          <w:color w:val="000000"/>
        </w:rPr>
        <w:t>Ataskaitų rinkinių skelbimas</w:t>
      </w:r>
    </w:p>
    <w:p>
      <w:pPr>
        <w:widowControl w:val="0"/>
        <w:suppressAutoHyphens/>
        <w:ind w:firstLine="567"/>
        <w:jc w:val="both"/>
        <w:rPr>
          <w:color w:val="000000"/>
        </w:rPr>
      </w:pPr>
      <w:r>
        <w:rPr>
          <w:color w:val="000000"/>
        </w:rPr>
        <w:t>1</w:t>
      </w:r>
      <w:r>
        <w:rPr>
          <w:color w:val="000000"/>
        </w:rPr>
        <w:t>. Viešojo sektoriaus subjekto ataskaitų rinkiniai skelbiami jo interneto svetainėje, o jeigu jos neturi, – už atitinkamos viešojo sektoriaus subjektų grupės konsoliduotųjų ataskaitų rinkinio rengimą atsakingo viešojo sektoriaus subjekto interneto svetainėje.</w:t>
      </w:r>
    </w:p>
    <w:p>
      <w:pPr>
        <w:widowControl w:val="0"/>
        <w:suppressAutoHyphens/>
        <w:ind w:firstLine="567"/>
        <w:jc w:val="both"/>
        <w:rPr>
          <w:color w:val="000000"/>
        </w:rPr>
      </w:pPr>
      <w:r>
        <w:rPr>
          <w:color w:val="000000"/>
        </w:rPr>
        <w:t>2</w:t>
      </w:r>
      <w:r>
        <w:rPr>
          <w:color w:val="000000"/>
        </w:rPr>
        <w:t>. Viešojo sektoriaus subjektų grupės konsoliduotųjų ataskaitų rinkinius skelbia už jų parengimą atsakingas viešojo sektoriaus subjektas savo interneto svetainėje.</w:t>
      </w:r>
    </w:p>
    <w:p>
      <w:pPr>
        <w:widowControl w:val="0"/>
        <w:suppressAutoHyphens/>
        <w:ind w:firstLine="567"/>
        <w:jc w:val="both"/>
        <w:rPr>
          <w:color w:val="000000"/>
        </w:rPr>
      </w:pPr>
      <w:r>
        <w:rPr>
          <w:color w:val="000000"/>
        </w:rPr>
        <w:t>3</w:t>
      </w:r>
      <w:r>
        <w:rPr>
          <w:color w:val="000000"/>
        </w:rPr>
        <w:t>. Tarpinių ir metinių ataskaitų rinkiniai skelbiami ne vėliau kaip per 10 dienų nuo ataskaitų pateikimo Finansų ministerijai dienos. Auditoriaus (valstybinio audito) išvada skelbiama ne vėliau kaip per 10 dienų nuo auditoriaus (valstybinio audito) išvados pasirašymo dienos.</w:t>
      </w:r>
    </w:p>
    <w:p>
      <w:pPr>
        <w:widowControl w:val="0"/>
        <w:suppressAutoHyphens/>
        <w:ind w:firstLine="567"/>
        <w:jc w:val="both"/>
        <w:rPr>
          <w:color w:val="000000"/>
        </w:rPr>
      </w:pPr>
      <w:r>
        <w:rPr>
          <w:color w:val="000000"/>
        </w:rPr>
        <w:t>4</w:t>
      </w:r>
      <w:r>
        <w:rPr>
          <w:color w:val="000000"/>
        </w:rPr>
        <w:t>. Išteklių fondų veiklą reglamentuojantys teisės aktai gali nustatyti kitokią išteklių fondų (konsoliduotųjų) ataskaitų rinkinių skelbimo tvarką.</w:t>
      </w:r>
    </w:p>
    <w:p>
      <w:pPr>
        <w:widowControl w:val="0"/>
        <w:suppressAutoHyphens/>
        <w:ind w:firstLine="567"/>
        <w:jc w:val="both"/>
        <w:rPr>
          <w:color w:val="000000"/>
        </w:rPr>
      </w:pPr>
      <w:r>
        <w:rPr>
          <w:color w:val="000000"/>
        </w:rPr>
        <w:t>5</w:t>
      </w:r>
      <w:r>
        <w:rPr>
          <w:color w:val="000000"/>
        </w:rPr>
        <w:t>. Nacionalinį ataskaitų rinkinį kartu su valstybinio audito išvada savo interneto svetainėje skelbia Vyriausybės įgaliota institucija.“</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35 straipsnio pavadinimo ir 3 dalies pakeitimas</w:t>
      </w:r>
    </w:p>
    <w:p>
      <w:pPr>
        <w:widowControl w:val="0"/>
        <w:suppressAutoHyphens/>
        <w:ind w:firstLine="567"/>
        <w:jc w:val="both"/>
        <w:rPr>
          <w:color w:val="000000"/>
        </w:rPr>
      </w:pPr>
      <w:r>
        <w:rPr>
          <w:color w:val="000000"/>
        </w:rPr>
        <w:t>1</w:t>
      </w:r>
      <w:r>
        <w:rPr>
          <w:color w:val="000000"/>
        </w:rPr>
        <w:t>. Pakeisti 35 straipsnio pavadinimą ir jį išdėstyti taip:</w:t>
      </w:r>
    </w:p>
    <w:p>
      <w:pPr>
        <w:ind w:firstLine="567"/>
        <w:jc w:val="both"/>
      </w:pPr>
    </w:p>
    <w:p>
      <w:pPr>
        <w:keepLines/>
        <w:widowControl w:val="0"/>
        <w:suppressAutoHyphens/>
        <w:ind w:left="2400" w:hanging="1833"/>
        <w:jc w:val="both"/>
        <w:rPr>
          <w:b/>
          <w:bCs/>
          <w:color w:val="000000"/>
        </w:rPr>
      </w:pPr>
      <w:r>
        <w:rPr>
          <w:b/>
          <w:bCs/>
          <w:color w:val="000000"/>
        </w:rPr>
        <w:t>„</w:t>
      </w:r>
      <w:r>
        <w:rPr>
          <w:b/>
          <w:bCs/>
          <w:color w:val="000000"/>
        </w:rPr>
        <w:t>35</w:t>
      </w:r>
      <w:r>
        <w:rPr>
          <w:b/>
          <w:bCs/>
          <w:color w:val="000000"/>
        </w:rPr>
        <w:t xml:space="preserve"> straipsnis. </w:t>
      </w:r>
      <w:r>
        <w:rPr>
          <w:b/>
          <w:bCs/>
          <w:color w:val="000000"/>
        </w:rPr>
        <w:t>Atsakomybė už ataskaitų rinkinių parengimą, pateikimą ir paskelbimą laiku“.</w:t>
      </w:r>
    </w:p>
    <w:p>
      <w:pPr>
        <w:widowControl w:val="0"/>
        <w:suppressAutoHyphens/>
        <w:ind w:firstLine="567"/>
        <w:jc w:val="both"/>
        <w:rPr>
          <w:color w:val="000000"/>
        </w:rPr>
      </w:pPr>
      <w:r>
        <w:rPr>
          <w:color w:val="000000"/>
        </w:rPr>
        <w:t>2</w:t>
      </w:r>
      <w:r>
        <w:rPr>
          <w:color w:val="000000"/>
        </w:rPr>
        <w:t>. Pakeisti 35 straipsnio 3 dalį ir ją išdėstyti taip:</w:t>
      </w:r>
    </w:p>
    <w:p>
      <w:pPr>
        <w:widowControl w:val="0"/>
        <w:suppressAutoHyphens/>
        <w:ind w:firstLine="567"/>
        <w:jc w:val="both"/>
        <w:rPr>
          <w:color w:val="000000"/>
        </w:rPr>
      </w:pPr>
      <w:r>
        <w:rPr>
          <w:color w:val="000000"/>
        </w:rPr>
        <w:t>„</w:t>
      </w:r>
      <w:r>
        <w:rPr>
          <w:color w:val="000000"/>
        </w:rPr>
        <w:t>3</w:t>
      </w:r>
      <w:r>
        <w:rPr>
          <w:color w:val="000000"/>
        </w:rPr>
        <w:t>. Už konsoliduotųjų ataskaitų parengimą, pateikimą teisės aktuose nurodytoms įstaigoms ir institucijoms ir paskelbimą laiku atsako teisės aktų nustatyto (nustatytų) atsakingo (atsakingų) viešojo sektoriaus subjekto (subjektų) vadovas (vadovai) arba jo (jų) įgaliotas (įgalioti) administracijos vadovas (vadovai) teisės aktų nustatyta tvarka.“</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36 straipsnio 2 ir 3 dalių pakeitimas</w:t>
      </w:r>
    </w:p>
    <w:p>
      <w:pPr>
        <w:widowControl w:val="0"/>
        <w:suppressAutoHyphens/>
        <w:ind w:firstLine="567"/>
        <w:jc w:val="both"/>
        <w:rPr>
          <w:color w:val="000000"/>
        </w:rPr>
      </w:pPr>
      <w:r>
        <w:rPr>
          <w:color w:val="000000"/>
        </w:rPr>
        <w:t>1</w:t>
      </w:r>
      <w:r>
        <w:rPr>
          <w:color w:val="000000"/>
        </w:rPr>
        <w:t>. Pakeisti 36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Pagal šį įstatymą viešojo sektoriaus subjektai, išskyrus nurodytus šio įstatymo 2 straipsnio 22 dalies 6 ir 7 punktuose, rengia, teikia ir skelbia 2010 metų ir vėlesnių metų ataskaitų rinkinius. Viešojo sektoriaus subjektai, nurodyti šio įstatymo 2 straipsnio 22 dalies 6 ir 7 punktuose, pagal šį įstatymą rengia, teikia ir skelbia 2011 metų ir vėlesnių metų ataskaitų rinkinius. Pirmą kartą sudarant finansinių ataskaitų rinkinius pagal šį įstatymą, palyginamųjų praėjusių finansinių metų skaičių pateikti neprivaloma. Finansų ministerijos nustatyti viešojo sektoriaus subjektai turi teisę rengti 2008 ir (arba) 2009 metų ataskaitų rinkinius pagal šį įstatymą. Šie subjektai taip pat rengia ir teikia biudžeto vykdymo ataskaitas valstybės ir savivaldybės biudžeto įvykdymo apyskaitoms rengti Finansų ministerijos nustatyta tvarka.“</w:t>
      </w:r>
    </w:p>
    <w:p>
      <w:pPr>
        <w:widowControl w:val="0"/>
        <w:suppressAutoHyphens/>
        <w:ind w:firstLine="567"/>
        <w:jc w:val="both"/>
        <w:rPr>
          <w:color w:val="000000"/>
        </w:rPr>
      </w:pPr>
      <w:r>
        <w:rPr>
          <w:color w:val="000000"/>
        </w:rPr>
        <w:t>2</w:t>
      </w:r>
      <w:r>
        <w:rPr>
          <w:color w:val="000000"/>
        </w:rPr>
        <w:t>. Pakeisti 36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Pagal šį įstatymą rengiamos 2010 metų ir vėlesnių metų viešojo sektoriaus subjektų grupių konsoliduotosios ataskaitos, įskaitant valstybės, savivaldybių, Privalomojo sveikatos draudimo fondo ir Valstybinio socialinio draudimo fondo konsoliduotąsias ataskaitas.“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13937</Characters>
  <Application>Microsoft Office Word</Application>
  <DocSecurity>4</DocSecurity>
  <Lines>258</Lines>
  <Paragraphs>120</Paragraphs>
  <ScaleCrop>false</ScaleCrop>
  <Company/>
  <LinksUpToDate>false</LinksUpToDate>
  <CharactersWithSpaces>15828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2015-06-23T01:29:00Z</dcterms:created>
  <dc:creator>Rima</dc:creator>
  <lastModifiedBy>Adlib User</lastModifiedBy>
  <dcterms:modified xsi:type="dcterms:W3CDTF">2015-06-23T01:29:00Z</dcterms:modified>
  <revision>2</revision>
  <dc:title>LIETUVOS RESPUBLIKOS VIEŠOJO SEKTORIAUS ATSKAITOMYBĖS ĮSTATYMO 1, 2, 15, 17, 19, 20, 21, 27, 29, 30, 31, 32, 33, 35, 36 STRAIPSNIŲ PAKEITIMO IR PAPILDYMO ĮSTATYMAS</dc:title>
</coreProperties>
</file>