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DARBUOTOJŲ SAUGOS IR SVEIKATOS ĮSTATYMO 8, 12, 13, 22, 27 STRAIPSNIŲ PAKEITIMO IR 12</w:t>
      </w:r>
      <w:r>
        <w:rPr>
          <w:b/>
          <w:bCs/>
          <w:caps/>
          <w:color w:val="000000"/>
          <w:vertAlign w:val="superscript"/>
        </w:rPr>
        <w:t>1</w:t>
      </w:r>
      <w:r>
        <w:rPr>
          <w:b/>
          <w:bCs/>
          <w:caps/>
          <w:color w:val="000000"/>
        </w:rPr>
        <w:t xml:space="preserve"> STRAIPSNIO PRIPAŽINIMO NETEKUSIU GALIOS ĮSTATYMAS</w:t>
      </w:r>
    </w:p>
    <w:p>
      <w:pPr>
        <w:widowControl w:val="0"/>
        <w:suppressAutoHyphens/>
        <w:jc w:val="center"/>
        <w:rPr>
          <w:b/>
          <w:bCs/>
          <w:caps/>
          <w:color w:val="000000"/>
        </w:rPr>
      </w:pPr>
    </w:p>
    <w:p>
      <w:pPr>
        <w:keepLines/>
        <w:widowControl w:val="0"/>
        <w:suppressAutoHyphens/>
        <w:jc w:val="center"/>
        <w:rPr>
          <w:color w:val="000000"/>
        </w:rPr>
      </w:pPr>
      <w:r>
        <w:rPr>
          <w:color w:val="000000"/>
        </w:rPr>
        <w:t>2010 m. gegužės 11 d. Nr. XI-802</w:t>
      </w:r>
    </w:p>
    <w:p>
      <w:pPr>
        <w:keepLines/>
        <w:widowControl w:val="0"/>
        <w:suppressAutoHyphens/>
        <w:jc w:val="center"/>
        <w:rPr>
          <w:color w:val="000000"/>
        </w:rPr>
      </w:pPr>
      <w:r>
        <w:rPr>
          <w:color w:val="000000"/>
        </w:rPr>
        <w:t>Vilnius</w:t>
      </w:r>
    </w:p>
    <w:p>
      <w:pPr>
        <w:keepLines/>
        <w:widowControl w:val="0"/>
        <w:suppressAutoHyphens/>
        <w:jc w:val="center"/>
        <w:rPr>
          <w:b/>
          <w:bCs/>
          <w:color w:val="000000"/>
        </w:rPr>
      </w:pPr>
    </w:p>
    <w:p>
      <w:pPr>
        <w:keepLines/>
        <w:widowControl w:val="0"/>
        <w:suppressAutoHyphens/>
        <w:jc w:val="center"/>
        <w:rPr>
          <w:color w:val="000000"/>
        </w:rPr>
      </w:pPr>
      <w:r>
        <w:rPr>
          <w:color w:val="000000"/>
        </w:rPr>
        <w:t xml:space="preserve">(Žin., 2003, Nr. </w:t>
      </w:r>
      <w:fldSimple w:instr="HYPERLINK https://www.e-tar.lt/portal/lt/legalAct/TAR.95C79D036AA4 \t _blank">
        <w:r>
          <w:rPr>
            <w:color w:val="0000FF" w:themeColor="hyperlink"/>
            <w:u w:val="single"/>
          </w:rPr>
          <w:t>70-3170</w:t>
        </w:r>
      </w:fldSimple>
      <w:r>
        <w:rPr>
          <w:color w:val="000000"/>
        </w:rPr>
        <w:t xml:space="preserve">; 2004, Nr. </w:t>
      </w:r>
      <w:fldSimple w:instr="HYPERLINK https://www.e-tar.lt/portal/lt/legalAct/TAR.609D02CF376B \t _blank">
        <w:r>
          <w:rPr>
            <w:color w:val="0000FF" w:themeColor="hyperlink"/>
            <w:u w:val="single"/>
          </w:rPr>
          <w:t>28-876</w:t>
        </w:r>
      </w:fldSimple>
      <w:r>
        <w:rPr>
          <w:color w:val="000000"/>
        </w:rPr>
        <w:t xml:space="preserve">, Nr. </w:t>
      </w:r>
      <w:fldSimple w:instr="HYPERLINK https://www.e-tar.lt/portal/lt/legalAct/TAR.9A18A8986B22 \t _blank">
        <w:r>
          <w:rPr>
            <w:color w:val="0000FF" w:themeColor="hyperlink"/>
            <w:u w:val="single"/>
          </w:rPr>
          <w:t>163-5945</w:t>
        </w:r>
      </w:fldSimple>
      <w:r>
        <w:rPr>
          <w:color w:val="000000"/>
        </w:rPr>
        <w:t xml:space="preserve">; 2007, Nr. </w:t>
      </w:r>
      <w:fldSimple w:instr="HYPERLINK https://www.e-tar.lt/portal/lt/legalAct/TAR.94C8747D9F01 \t _blank">
        <w:r>
          <w:rPr>
            <w:color w:val="0000FF" w:themeColor="hyperlink"/>
            <w:u w:val="single"/>
          </w:rPr>
          <w:t>69-2720</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8 straipsnio pakeitimas</w:t>
      </w:r>
    </w:p>
    <w:p>
      <w:pPr>
        <w:widowControl w:val="0"/>
        <w:suppressAutoHyphens/>
        <w:ind w:firstLine="567"/>
        <w:jc w:val="both"/>
        <w:rPr>
          <w:color w:val="000000"/>
        </w:rPr>
      </w:pPr>
      <w:r>
        <w:rPr>
          <w:color w:val="000000"/>
        </w:rPr>
        <w:t>Pakeisti 8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8</w:t>
      </w:r>
      <w:r>
        <w:rPr>
          <w:b/>
          <w:bCs/>
          <w:color w:val="000000"/>
        </w:rPr>
        <w:t xml:space="preserve"> straipsnis. </w:t>
      </w:r>
      <w:r>
        <w:rPr>
          <w:b/>
          <w:bCs/>
          <w:color w:val="000000"/>
        </w:rPr>
        <w:t xml:space="preserve">Mokymas saugos ir sveikatos srityje </w:t>
      </w:r>
    </w:p>
    <w:p>
      <w:pPr>
        <w:widowControl w:val="0"/>
        <w:suppressAutoHyphens/>
        <w:ind w:firstLine="567"/>
        <w:jc w:val="both"/>
        <w:rPr>
          <w:color w:val="000000"/>
        </w:rPr>
      </w:pPr>
      <w:r>
        <w:rPr>
          <w:color w:val="000000"/>
        </w:rPr>
        <w:t>1</w:t>
      </w:r>
      <w:r>
        <w:rPr>
          <w:color w:val="000000"/>
        </w:rPr>
        <w:t>. Darbuotojų saugos ir sveikatos specialistus pagal specialias programas ekonominėms veiklos sritims rengia Lietuvos Respublikos aukštosios mokyklos ir mokymo įstaigos, turinčios Lietuvos Respublikos švietimo ir mokslo ministerijos išduotas licencijas mokyti pagal tokias programas. Statinių projektavimo, statinių statybos saugos ir sveikatos koordinatorius pagal specialias programas rengia Lietuvos Respublikos aukštosios mokyklos.</w:t>
      </w:r>
    </w:p>
    <w:p>
      <w:pPr>
        <w:widowControl w:val="0"/>
        <w:suppressAutoHyphens/>
        <w:ind w:firstLine="567"/>
        <w:jc w:val="both"/>
        <w:rPr>
          <w:color w:val="000000"/>
        </w:rPr>
      </w:pPr>
      <w:r>
        <w:rPr>
          <w:color w:val="000000"/>
        </w:rPr>
        <w:t>2</w:t>
      </w:r>
      <w:r>
        <w:rPr>
          <w:color w:val="000000"/>
        </w:rPr>
        <w:t>. Aukštųjų mokyklų studentai, profesinių mokyklų mokiniai privalo būti mokomi darbuotojų saugos ir sveikatos reikalavimų pagal įgyjamas kvalifikacijas ir profesijas.</w:t>
      </w:r>
    </w:p>
    <w:p>
      <w:pPr>
        <w:widowControl w:val="0"/>
        <w:suppressAutoHyphens/>
        <w:ind w:firstLine="567"/>
        <w:jc w:val="both"/>
        <w:rPr>
          <w:color w:val="000000"/>
        </w:rPr>
      </w:pPr>
      <w:r>
        <w:rPr>
          <w:color w:val="000000"/>
        </w:rPr>
        <w:t>3</w:t>
      </w:r>
      <w:r>
        <w:rPr>
          <w:color w:val="000000"/>
        </w:rPr>
        <w:t>. Bendrojo lavinimo mokyklos privalo supažindinti mokinius su bendraisiais saugos ir sveikatos darbe ir buityje reikalavimais.</w:t>
      </w:r>
    </w:p>
    <w:p>
      <w:pPr>
        <w:widowControl w:val="0"/>
        <w:suppressAutoHyphens/>
        <w:ind w:firstLine="567"/>
        <w:jc w:val="both"/>
        <w:rPr>
          <w:b/>
          <w:bCs/>
          <w:color w:val="000000"/>
        </w:rPr>
      </w:pPr>
      <w:r>
        <w:rPr>
          <w:color w:val="000000"/>
        </w:rPr>
        <w:t>4</w:t>
      </w:r>
      <w:r>
        <w:rPr>
          <w:color w:val="000000"/>
        </w:rPr>
        <w:t>. Profesinės sveikatos specialistais gali dirbti sveikatos priežiūros specialistai, turintys aukštąjį medicinos, visuomenės sveikatos ar slaugos išsilavinimą ir atitinkantys sveikatos apsaugos ministro nustatytus kvalifikacinius reikalavimus.</w:t>
      </w:r>
    </w:p>
    <w:p>
      <w:pPr>
        <w:widowControl w:val="0"/>
        <w:suppressAutoHyphens/>
        <w:ind w:firstLine="567"/>
        <w:jc w:val="both"/>
        <w:rPr>
          <w:b/>
          <w:bCs/>
          <w:color w:val="000000"/>
        </w:rPr>
      </w:pPr>
      <w:r>
        <w:rPr>
          <w:color w:val="000000"/>
        </w:rPr>
        <w:t>5</w:t>
      </w:r>
      <w:r>
        <w:rPr>
          <w:color w:val="000000"/>
        </w:rPr>
        <w:t>. Statinių projektavimo, statinių statybos saugos ir sveikatos koordinatorių mokymo ir jų žinių tikrinimo tvarkos aprašą tvirtina aplinkos ministras ir socialinės apsaugos ir darbo ministras.“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12 straipsnio pakeitimas</w:t>
      </w:r>
    </w:p>
    <w:p>
      <w:pPr>
        <w:widowControl w:val="0"/>
        <w:suppressAutoHyphens/>
        <w:ind w:firstLine="567"/>
        <w:jc w:val="both"/>
        <w:rPr>
          <w:color w:val="000000"/>
        </w:rPr>
      </w:pPr>
      <w:r>
        <w:rPr>
          <w:color w:val="000000"/>
        </w:rPr>
        <w:t xml:space="preserve">Pakeisti 12 straipsnį ir jį išdėstyti taip: </w:t>
      </w:r>
    </w:p>
    <w:p>
      <w:pPr>
        <w:ind w:firstLine="567"/>
        <w:jc w:val="both"/>
      </w:pPr>
    </w:p>
    <w:p>
      <w:pPr>
        <w:keepLines/>
        <w:widowControl w:val="0"/>
        <w:suppressAutoHyphens/>
        <w:ind w:left="2520" w:hanging="1953"/>
        <w:jc w:val="both"/>
        <w:rPr>
          <w:b/>
          <w:bCs/>
          <w:color w:val="000000"/>
        </w:rPr>
      </w:pPr>
      <w:r>
        <w:rPr>
          <w:b/>
          <w:bCs/>
          <w:color w:val="000000"/>
        </w:rPr>
        <w:t>„</w:t>
      </w:r>
      <w:r>
        <w:rPr>
          <w:b/>
          <w:bCs/>
          <w:color w:val="000000"/>
        </w:rPr>
        <w:t>12</w:t>
      </w:r>
      <w:r>
        <w:rPr>
          <w:b/>
          <w:bCs/>
          <w:color w:val="000000"/>
        </w:rPr>
        <w:t xml:space="preserve"> straipsnis. </w:t>
      </w:r>
      <w:r>
        <w:rPr>
          <w:b/>
          <w:bCs/>
          <w:color w:val="000000"/>
        </w:rPr>
        <w:t xml:space="preserve">Darbuotojų saugos ir sveikatos prevencinių priemonių organizavimas įmonėse </w:t>
      </w:r>
    </w:p>
    <w:p>
      <w:pPr>
        <w:widowControl w:val="0"/>
        <w:suppressAutoHyphens/>
        <w:ind w:firstLine="567"/>
        <w:jc w:val="both"/>
        <w:rPr>
          <w:color w:val="000000"/>
        </w:rPr>
      </w:pPr>
      <w:r>
        <w:rPr>
          <w:color w:val="000000"/>
        </w:rPr>
        <w:t>1</w:t>
      </w:r>
      <w:r>
        <w:rPr>
          <w:color w:val="000000"/>
        </w:rPr>
        <w:t>. Darbdavys, siekdamas užtikrinti darbuotojų saugą ir sveikatą, paskiria vieną ar daugiau darbuotojų saugos ir sveikatos specialistų arba steigia darbuotojų saugos ir sveikatos tarnybą (toliau šiame straipsnyje – darbdavio paskirti asmenys). Jeigu įmonėje nėra tokių asmenų arba jų nepakanka, kad būtų tinkamai organizuojamos darbuotojų saugos ir sveikatos prevencinės priemonės, darbdavys gali sudaryti sutartį su Lietuvos Respublikos ar bet kurios Europos Sąjungos valstybės narės ar kitos Europos ekonominės erdvės valstybės</w:t>
      </w:r>
      <w:r>
        <w:rPr>
          <w:b/>
          <w:bCs/>
          <w:color w:val="000000"/>
        </w:rPr>
        <w:t xml:space="preserve"> </w:t>
      </w:r>
      <w:r>
        <w:rPr>
          <w:color w:val="000000"/>
        </w:rPr>
        <w:t>(toliau šiame straipsnyje – valstybė narė) piliečiu, kitu fiziniu asmeniu, kuris naudojasi Europos Sąjungos teisės aktuose jam suteiktomis judėjimo valstybėse narėse teisėmis, (toliau šiame straipsnyje – fizinis asmuo) ir (ar) Lietuvos Respublikoje įsteigtu juridiniu asmeniu ar kitoje valstybėje narėje įsteigtu juridiniu asmeniu ar kita organizacija, ar jų filialais (toliau šiame straipsnyje – juridinis asmuo) dėl darbuotojų saugos ir sveikatos tarnybos funkcijų ar jų dalies atlikimo. Visais atvejais darbuotojų saugos ir sveikatos specialistų, atsižvelgiant į įmonės ekonominės veiklos rūšį, darbuotojų skaičių ir profesinę riziką, turi būti pakankamai, kad jie galėtų organizuoti įmonėje darbuotojų saugos ir sveikatos prevencines priemones.</w:t>
      </w:r>
    </w:p>
    <w:p>
      <w:pPr>
        <w:widowControl w:val="0"/>
        <w:suppressAutoHyphens/>
        <w:ind w:firstLine="567"/>
        <w:jc w:val="both"/>
        <w:rPr>
          <w:strike/>
          <w:color w:val="000000"/>
        </w:rPr>
      </w:pPr>
      <w:r>
        <w:rPr>
          <w:color w:val="000000"/>
        </w:rPr>
        <w:t>2</w:t>
      </w:r>
      <w:r>
        <w:rPr>
          <w:color w:val="000000"/>
        </w:rPr>
        <w:t xml:space="preserve">. Darbuotojų saugos ir sveikatos tarnybų įmonėse steigimo tvarką, darbdavio paskirtų asmenų funkcijas, teises, pareigas nustato Įmonių darbuotojų saugos ir sveikatos tarnybų pavyzdiniai nuostatai. Juos tvirtina socialinės apsaugos ir darbo ministras ir sveikatos apsaugos ministras. Šiuose nuostatuose, atsižvelgiant į ekonominės veiklos rūšis, darbuotojų skaičių ir profesinę riziką, nustatoma, kiek privalo būti darbdavio paskirtų asmenų, juridinio asmens darbuotojų saugos ir sveikatos specialistų ir (ar) fizinių asmenų, atliekančių darbuotojų saugos ir sveikatos tarnybos funkcijas ar jų dalį, ir ekonominės veiklos rūšys, kurių įmonėse, atsižvelgiant į darbuotojų skaičių ir profesinę riziką, darbuotojų saugos ir sveikatos tarnybos funkcijas gali atlikti darbdaviui atstovaujantis asmuo ar darbdavio įgaliotas asmuo, apmokytas, vadovaujantis socialinės apsaugos ir darbo ministro ir sveikatos apsaugos ministro patvirtintais Mokymo ir atestavimo darbuotojų saugos ir sveikatos klausimais bendraisiais nuostatais. </w:t>
      </w:r>
    </w:p>
    <w:p>
      <w:pPr>
        <w:widowControl w:val="0"/>
        <w:suppressAutoHyphens/>
        <w:ind w:firstLine="567"/>
        <w:jc w:val="both"/>
        <w:rPr>
          <w:color w:val="000000"/>
        </w:rPr>
      </w:pPr>
      <w:r>
        <w:rPr>
          <w:color w:val="000000"/>
        </w:rPr>
        <w:t>3</w:t>
      </w:r>
      <w:r>
        <w:rPr>
          <w:color w:val="000000"/>
        </w:rPr>
        <w:t xml:space="preserve">. Darbdavio paskirti asmenys, juridinio asmens darbuotojų saugos ir sveikatos specialistai ar fiziniai asmenys, atliekantys darbuotojų saugos ir sveikatos tarnybos funkcijas ar jų dalį, turi atitikti socialinės apsaugos ir darbo ministro nustatytus kvalifikacinius reikalavimus ir turėti darbui reikalingas priemones. Šių asmenų pareiga yra rengti pasiūlymus prevencinėms priemonėms, skirtoms darbuotojų apsaugai nuo traumų ir profesinių ligų, koordinuoti tokių priemonių įgyvendinimą ir kontroliuoti, kaip įmonės darbuotojai laikosi darbuotojų saugos ir sveikatos reikalavimų. </w:t>
      </w:r>
    </w:p>
    <w:p>
      <w:pPr>
        <w:widowControl w:val="0"/>
        <w:suppressAutoHyphens/>
        <w:ind w:firstLine="567"/>
        <w:jc w:val="both"/>
        <w:rPr>
          <w:color w:val="000000"/>
        </w:rPr>
      </w:pPr>
      <w:r>
        <w:rPr>
          <w:color w:val="000000"/>
        </w:rPr>
        <w:t>4</w:t>
      </w:r>
      <w:r>
        <w:rPr>
          <w:color w:val="000000"/>
        </w:rPr>
        <w:t xml:space="preserve">. Darbdavio paskirtiems asmenims suteikiama pakankamai laiko jų funkcijoms atlikti. Šiems asmenims netaikoma administracinė ar kita atsakomybė dėl veiklos organizuojant ir įgyvendinant prevencines priemones, susijusias su darbuotojų sauga ir sveikata, jeigu jie veikė vadovaudamiesi šiuo Įstatymu ir kitais darbuotojų saugos ir sveikatos norminiais teisės aktais. Šie asmenys už savo darbą tiesiogiai atsiskaito darbdaviui atstovaujančiam asmeniui arba darbdavio įgaliotam asmeniui. Juridinio ar fizinio asmens, atliekančio darbuotojų saugos ir sveikatos tarnybos funkcijas ar jų dalį, ir darbdavio tarpusavio įsipareigojimai nustatomi sutartyje dėl tokių funkcijų atlikimo. Šioje sutartyje privalo būti nustatytas juridinio asmens darbuotojų saugos ir sveikatos specialistų ir (ar) fizinių asmenų, atliekančių darbuotojų saugos ir sveikatos tarnybos funkcijas ar jų dalį, skaičius, atsižvelgiant į darbdavio paskirtų asmenų skaičių, ne mažesnis, kaip nustatyta Įmonių darbuotojų saugos ir sveikatos tarnybų pavyzdiniuose nuostatuose. </w:t>
      </w:r>
    </w:p>
    <w:p>
      <w:pPr>
        <w:widowControl w:val="0"/>
        <w:suppressAutoHyphens/>
        <w:ind w:firstLine="567"/>
        <w:jc w:val="both"/>
        <w:rPr>
          <w:color w:val="000000"/>
        </w:rPr>
      </w:pPr>
      <w:r>
        <w:rPr>
          <w:color w:val="000000"/>
        </w:rPr>
        <w:t>5</w:t>
      </w:r>
      <w:r>
        <w:rPr>
          <w:color w:val="000000"/>
        </w:rPr>
        <w:t>. Darbdavys informuoja juridinio asmens darbuotojų saugos ir sveikatos specialistus ar fizinius asmenis, atliekančius darbuotojų saugos ir sveikatos tarnybos funkcijas ar jų dalį, apie darbdavio paskirtus asmenis, įmonės darbuotojus, atsakingus už pirmąją medicinos pagalbą ir priešgaisrinių bei evakavimo priemonių įgyvendinimą.</w:t>
      </w:r>
    </w:p>
    <w:p>
      <w:pPr>
        <w:widowControl w:val="0"/>
        <w:suppressAutoHyphens/>
        <w:ind w:firstLine="567"/>
        <w:jc w:val="both"/>
        <w:rPr>
          <w:color w:val="000000"/>
        </w:rPr>
      </w:pPr>
      <w:r>
        <w:rPr>
          <w:color w:val="000000"/>
        </w:rPr>
        <w:t>6</w:t>
      </w:r>
      <w:r>
        <w:rPr>
          <w:color w:val="000000"/>
        </w:rPr>
        <w:t>. Įpareigojimų suteikimas darbdavio paskirtiems asmenims, darbdavio įgaliotiems asmenims, juridinių ar fizinių asmenų sutartiniai</w:t>
      </w:r>
      <w:r>
        <w:rPr>
          <w:b/>
          <w:bCs/>
          <w:color w:val="000000"/>
        </w:rPr>
        <w:t xml:space="preserve"> </w:t>
      </w:r>
      <w:r>
        <w:rPr>
          <w:color w:val="000000"/>
        </w:rPr>
        <w:t>įsipareigojimai darbdaviui neatleidžia darbdavio nuo atsakomybės, nustatytos</w:t>
      </w:r>
      <w:r>
        <w:rPr>
          <w:b/>
          <w:bCs/>
          <w:color w:val="000000"/>
        </w:rPr>
        <w:t xml:space="preserve"> </w:t>
      </w:r>
      <w:r>
        <w:rPr>
          <w:color w:val="000000"/>
        </w:rPr>
        <w:t xml:space="preserve">šio Įstatymo 11 straipsnyje. </w:t>
      </w:r>
    </w:p>
    <w:p>
      <w:pPr>
        <w:widowControl w:val="0"/>
        <w:suppressAutoHyphens/>
        <w:ind w:firstLine="567"/>
        <w:jc w:val="both"/>
        <w:rPr>
          <w:color w:val="000000"/>
        </w:rPr>
      </w:pPr>
      <w:r>
        <w:rPr>
          <w:color w:val="000000"/>
        </w:rPr>
        <w:t>7</w:t>
      </w:r>
      <w:r>
        <w:rPr>
          <w:color w:val="000000"/>
        </w:rPr>
        <w:t>. Juridiniai ar fiziniai asmenys, pagal sutartis su darbdaviais atliekantys darbuotojų saugos ir sveikatos funkcijas ar jų dalį, kasmet socialinės apsaugos ir darbo ministro nustatyta tvarka teikia informaciją Valstybinei darbo inspekcijai apie darbdavius, kuriems teikė tokias paslaugas, ir darbuotojų saugos ir sveikatos specialistų, atlikusių darbuotojų saugos ir sveikatos tarnybos funkcijas ar jų dalį, skaičių.</w:t>
      </w:r>
    </w:p>
    <w:p>
      <w:pPr>
        <w:widowControl w:val="0"/>
        <w:suppressAutoHyphens/>
        <w:ind w:firstLine="567"/>
        <w:jc w:val="both"/>
        <w:rPr>
          <w:color w:val="000000"/>
        </w:rPr>
      </w:pPr>
      <w:r>
        <w:rPr>
          <w:color w:val="000000"/>
        </w:rPr>
        <w:t>8</w:t>
      </w:r>
      <w:r>
        <w:rPr>
          <w:color w:val="000000"/>
        </w:rPr>
        <w:t>. Juridiniai ar fiziniai asmenys, pagal sutartis su darbdaviais atliekantys darbuotojų saugos ir sveikatos tarnybos funkcijas ar jų dalį, už neteisingos informacijos pateikimą ar informacijos nepateikimą, Įmonių darbuotojų saugos ir sveikatos tarnybų pavyzdinių nuostatų reikalavimų nesilaikymą atsako įstatymų nustatyta tvarka.“</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12</w:t>
      </w:r>
      <w:r>
        <w:rPr>
          <w:b/>
          <w:bCs/>
          <w:color w:val="000000"/>
          <w:vertAlign w:val="superscript"/>
        </w:rPr>
        <w:t>1</w:t>
      </w:r>
      <w:r>
        <w:rPr>
          <w:b/>
          <w:bCs/>
          <w:color w:val="000000"/>
        </w:rPr>
        <w:t xml:space="preserve"> straipsnio pripažinimas netekusiu galios</w:t>
      </w:r>
    </w:p>
    <w:p>
      <w:pPr>
        <w:widowControl w:val="0"/>
        <w:suppressAutoHyphens/>
        <w:ind w:firstLine="567"/>
        <w:jc w:val="both"/>
        <w:rPr>
          <w:color w:val="000000"/>
        </w:rPr>
      </w:pPr>
      <w:r>
        <w:rPr>
          <w:color w:val="000000"/>
        </w:rPr>
        <w:t>12</w:t>
      </w:r>
      <w:r>
        <w:rPr>
          <w:color w:val="000000"/>
          <w:vertAlign w:val="superscript"/>
        </w:rPr>
        <w:t>1</w:t>
      </w:r>
      <w:r>
        <w:rPr>
          <w:color w:val="000000"/>
        </w:rPr>
        <w:t xml:space="preserve"> straipsnį pripažinti netekusiu galios.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13 straipsnio 5 dalies 2 punkto pakeitimas</w:t>
      </w:r>
    </w:p>
    <w:p>
      <w:pPr>
        <w:widowControl w:val="0"/>
        <w:suppressAutoHyphens/>
        <w:ind w:firstLine="567"/>
        <w:jc w:val="both"/>
        <w:rPr>
          <w:color w:val="000000"/>
        </w:rPr>
      </w:pPr>
      <w:r>
        <w:rPr>
          <w:color w:val="000000"/>
        </w:rPr>
        <w:t>13 straipsnio 5 dalies 2 punkte vietoj žodžio „evakuavimą“ įrašyti žodį „evakavimą“ ir šį punktą išdėstyti taip:</w:t>
      </w:r>
    </w:p>
    <w:p>
      <w:pPr>
        <w:widowControl w:val="0"/>
        <w:suppressAutoHyphens/>
        <w:ind w:firstLine="567"/>
        <w:jc w:val="both"/>
        <w:rPr>
          <w:color w:val="000000"/>
        </w:rPr>
      </w:pPr>
      <w:r>
        <w:rPr>
          <w:color w:val="000000"/>
        </w:rPr>
        <w:t>„</w:t>
      </w:r>
      <w:r>
        <w:rPr>
          <w:color w:val="000000"/>
        </w:rPr>
        <w:t>2</w:t>
      </w:r>
      <w:r>
        <w:rPr>
          <w:color w:val="000000"/>
        </w:rPr>
        <w:t>) dalyvauja darbdaviui atstovaujančiam asmeniui ar darbdavio įgaliotam asmeniui parenkant ir paskiriant darbuotojus, atsakingus už pirmosios medicinos pagalbos suteikimą, taip pat parenkant ir paskiriant darbuotojus, atsakingus už gelbėjimo darbų organizavimą,</w:t>
      </w:r>
      <w:r>
        <w:rPr>
          <w:i/>
          <w:iCs/>
          <w:color w:val="000000"/>
        </w:rPr>
        <w:t xml:space="preserve"> </w:t>
      </w:r>
      <w:r>
        <w:rPr>
          <w:color w:val="000000"/>
        </w:rPr>
        <w:t>darbuotojų evakavimą galimų avarijų, stichinių nelaimių ar gaisrų atvejais (prieš paskirdamas tokius darbuotojus, darbdaviui atstovaujantis asmuo su darbuotojų atstovais saugai ir sveikatai konsultuojasi, juos paskyręs jiems praneša apie šių darbuotojų darbo vietas, įpareigojimus);“.</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 xml:space="preserve">22 straipsnio pavadinimo, 1, 2 dalių ir 4 dalies 5 punkto pakeitimas </w:t>
      </w:r>
    </w:p>
    <w:p>
      <w:pPr>
        <w:widowControl w:val="0"/>
        <w:suppressAutoHyphens/>
        <w:ind w:firstLine="567"/>
        <w:jc w:val="both"/>
        <w:rPr>
          <w:color w:val="000000"/>
        </w:rPr>
      </w:pPr>
      <w:r>
        <w:rPr>
          <w:color w:val="000000"/>
        </w:rPr>
        <w:t>1</w:t>
      </w:r>
      <w:r>
        <w:rPr>
          <w:color w:val="000000"/>
        </w:rPr>
        <w:t>. 22 straipsnio pavadinime</w:t>
      </w:r>
      <w:r>
        <w:rPr>
          <w:b/>
          <w:bCs/>
          <w:color w:val="000000"/>
        </w:rPr>
        <w:t xml:space="preserve"> </w:t>
      </w:r>
      <w:r>
        <w:rPr>
          <w:color w:val="000000"/>
        </w:rPr>
        <w:t>vietoj žodžio „evakuavimo“ įrašyti žodį „evakavimo“ ir šį pavadinimą išdėstyti taip:</w:t>
      </w:r>
    </w:p>
    <w:p>
      <w:pPr>
        <w:ind w:firstLine="567"/>
        <w:jc w:val="both"/>
      </w:pPr>
    </w:p>
    <w:p>
      <w:pPr>
        <w:keepLines/>
        <w:widowControl w:val="0"/>
        <w:suppressAutoHyphens/>
        <w:ind w:left="2280" w:hanging="1713"/>
        <w:jc w:val="both"/>
        <w:rPr>
          <w:b/>
          <w:bCs/>
          <w:color w:val="000000"/>
        </w:rPr>
      </w:pPr>
      <w:r>
        <w:rPr>
          <w:b/>
          <w:bCs/>
          <w:color w:val="000000"/>
        </w:rPr>
        <w:t>„</w:t>
      </w:r>
      <w:r>
        <w:rPr>
          <w:b/>
          <w:bCs/>
          <w:color w:val="000000"/>
        </w:rPr>
        <w:t>22</w:t>
      </w:r>
      <w:r>
        <w:rPr>
          <w:b/>
          <w:bCs/>
          <w:color w:val="000000"/>
        </w:rPr>
        <w:t xml:space="preserve"> straipsnis. </w:t>
      </w:r>
      <w:r>
        <w:rPr>
          <w:b/>
          <w:bCs/>
          <w:color w:val="000000"/>
        </w:rPr>
        <w:t>Darbuotojų evakavimo bei avarijų prevencijos ir likvidavimo planai. Darbdavio ir darbuotojų veiksmai pavojaus atvejais“.</w:t>
      </w:r>
    </w:p>
    <w:p>
      <w:pPr>
        <w:widowControl w:val="0"/>
        <w:suppressAutoHyphens/>
        <w:ind w:firstLine="567"/>
        <w:jc w:val="both"/>
        <w:rPr>
          <w:color w:val="000000"/>
        </w:rPr>
      </w:pPr>
      <w:r>
        <w:rPr>
          <w:color w:val="000000"/>
        </w:rPr>
        <w:t>2</w:t>
      </w:r>
      <w:r>
        <w:rPr>
          <w:color w:val="000000"/>
        </w:rPr>
        <w:t>. 22 straipsnio 1 dalyje vietoj žodžio „evakuavimo“ įrašyti žodį „evakavimo“ ir šią dalį išdėstyti taip:</w:t>
      </w:r>
    </w:p>
    <w:p>
      <w:pPr>
        <w:widowControl w:val="0"/>
        <w:suppressAutoHyphens/>
        <w:ind w:firstLine="567"/>
        <w:jc w:val="both"/>
        <w:rPr>
          <w:color w:val="000000"/>
        </w:rPr>
      </w:pPr>
      <w:r>
        <w:rPr>
          <w:color w:val="000000"/>
        </w:rPr>
        <w:t>„</w:t>
      </w:r>
      <w:r>
        <w:rPr>
          <w:color w:val="000000"/>
        </w:rPr>
        <w:t>1</w:t>
      </w:r>
      <w:r>
        <w:rPr>
          <w:color w:val="000000"/>
        </w:rPr>
        <w:t>. Kiekviena įmonė ir visi jos padaliniai privalo turėti darbuotojų evakavimo planus.“</w:t>
      </w:r>
    </w:p>
    <w:p>
      <w:pPr>
        <w:widowControl w:val="0"/>
        <w:suppressAutoHyphens/>
        <w:ind w:firstLine="567"/>
        <w:jc w:val="both"/>
        <w:rPr>
          <w:color w:val="000000"/>
        </w:rPr>
      </w:pPr>
      <w:r>
        <w:rPr>
          <w:color w:val="000000"/>
        </w:rPr>
        <w:t>3</w:t>
      </w:r>
      <w:r>
        <w:rPr>
          <w:color w:val="000000"/>
        </w:rPr>
        <w:t>. 22 straipsnio 2 dalyje vietoj žodžių „evakuavimo“ įrašyti žodžius „evakavimo“ ir šią dalį išdėstyti taip:</w:t>
      </w:r>
    </w:p>
    <w:p>
      <w:pPr>
        <w:widowControl w:val="0"/>
        <w:suppressAutoHyphens/>
        <w:ind w:firstLine="567"/>
        <w:jc w:val="both"/>
        <w:rPr>
          <w:color w:val="000000"/>
        </w:rPr>
      </w:pPr>
      <w:r>
        <w:rPr>
          <w:color w:val="000000"/>
        </w:rPr>
        <w:t>„</w:t>
      </w:r>
      <w:r>
        <w:rPr>
          <w:color w:val="000000"/>
        </w:rPr>
        <w:t>2</w:t>
      </w:r>
      <w:r>
        <w:rPr>
          <w:color w:val="000000"/>
        </w:rPr>
        <w:t>. Su evakavimo planais darbuotojai susipažįsta įsidarbindami įmonėje. Darbuotojų evakavimo planai iškabinami įmonės ir jos padalinių gerai matomose vietose. Darbdavio įgalioti asmenys, įmonės darbuotojų saugos ir sveikatos tarnybos darbuotojai, darbuotojų atstovai saugai ir sveikatai privalo būti gerai susipažinę su evakavimo planais, įmonės avarijų prevencijos ir likvidavimo planais ir priemonėmis, kurių privaloma imtis avarijų atvejais.“</w:t>
      </w:r>
    </w:p>
    <w:p>
      <w:pPr>
        <w:widowControl w:val="0"/>
        <w:suppressAutoHyphens/>
        <w:ind w:firstLine="567"/>
        <w:jc w:val="both"/>
        <w:rPr>
          <w:color w:val="000000"/>
        </w:rPr>
      </w:pPr>
      <w:r>
        <w:rPr>
          <w:color w:val="000000"/>
        </w:rPr>
        <w:t>4</w:t>
      </w:r>
      <w:r>
        <w:rPr>
          <w:color w:val="000000"/>
        </w:rPr>
        <w:t>. 22 straipsnio 4 dalies 5 punkte vietoj žodžio „evakuavimą“ įrašyti žodį „evakavimą“ ir šį punktą išdėstyti taip:</w:t>
      </w:r>
    </w:p>
    <w:p>
      <w:pPr>
        <w:widowControl w:val="0"/>
        <w:suppressAutoHyphens/>
        <w:ind w:firstLine="567"/>
        <w:jc w:val="both"/>
        <w:rPr>
          <w:color w:val="000000"/>
        </w:rPr>
      </w:pPr>
      <w:r>
        <w:rPr>
          <w:color w:val="000000"/>
        </w:rPr>
        <w:t>„</w:t>
      </w:r>
      <w:r>
        <w:rPr>
          <w:color w:val="000000"/>
        </w:rPr>
        <w:t>5</w:t>
      </w:r>
      <w:r>
        <w:rPr>
          <w:color w:val="000000"/>
        </w:rPr>
        <w:t>) organizuoja pirmosios medicinos pagalbos suteikimą nukentėjusiesiems, taip pat darbuotojų evakavimą.“</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27 straipsnio 2 dalies pakeitimas</w:t>
      </w:r>
    </w:p>
    <w:p>
      <w:pPr>
        <w:widowControl w:val="0"/>
        <w:suppressAutoHyphens/>
        <w:ind w:firstLine="567"/>
        <w:jc w:val="both"/>
        <w:rPr>
          <w:color w:val="000000"/>
        </w:rPr>
      </w:pPr>
      <w:r>
        <w:rPr>
          <w:color w:val="000000"/>
        </w:rPr>
        <w:t xml:space="preserve">Pakeisti 27 straipsnio 2 dalį ir ją išdėstyti taip: </w:t>
      </w:r>
    </w:p>
    <w:p>
      <w:pPr>
        <w:widowControl w:val="0"/>
        <w:suppressAutoHyphens/>
        <w:ind w:firstLine="567"/>
        <w:jc w:val="both"/>
        <w:rPr>
          <w:b/>
          <w:bCs/>
          <w:color w:val="000000"/>
        </w:rPr>
      </w:pPr>
      <w:r>
        <w:rPr>
          <w:color w:val="000000"/>
        </w:rPr>
        <w:t>„</w:t>
      </w:r>
      <w:r>
        <w:rPr>
          <w:color w:val="000000"/>
        </w:rPr>
        <w:t>2</w:t>
      </w:r>
      <w:r>
        <w:rPr>
          <w:color w:val="000000"/>
        </w:rPr>
        <w:t>. Darbuotojas, darbdavių susitarimu pasiųstas laikinam darbui į įmonę iš kitos įmonės, negali pradėti dirbti tol, kol jis neinformuotas apie esančius ir galimus rizikos veiksnius įmonėje, į kurią jis pasiųstas dirbti, neinstruktuotas saugiai dirbti konkrečioje darbo vietoje, nepaisant to, kad įmonėje, kurioje jis nuolat dirba, buvo nustatyta tvarka instruktuotas ir apmokytas saugiai dirbti. Į kitą įmonę pasiųstiems dirbti darbuotojams taip pat privalo būti suteikta informacija apie įmonėje paskirtus darbuotojus, atsakingus už pirmosios medicinos pagalbos suteikimą, taip pat jie turi būti supažindinti su šio Įstatymo 22 straipsnyje nurodytais darbuotojų evakavimo planais. Darbuotojus, atliekančius kitose įmonėse darbus ar teikiančius paslaugas, ir darbuotojus, atliekančius įstatymų ar kitų norminių teisės aktų nustatytas kontrolės funkcijas, instruktuoja jų darbdaviai.“</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išskyrus 8 straipsnį, įsigalioja 2010 m. birželio 1 d.</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 xml:space="preserve">Pasiūlymas Lietuvos Respublikos Vyriausybei </w:t>
      </w:r>
    </w:p>
    <w:p>
      <w:pPr>
        <w:widowControl w:val="0"/>
        <w:suppressAutoHyphens/>
        <w:ind w:firstLine="567"/>
        <w:jc w:val="both"/>
        <w:rPr>
          <w:color w:val="000000"/>
        </w:rPr>
      </w:pPr>
      <w:r>
        <w:rPr>
          <w:color w:val="000000"/>
        </w:rPr>
        <w:t>Lietuvos Respublikos Vyriausybė arba jos įgaliota institucija iki 2010 m. birželio 1 d. parengia šio įstatymo įgyvendinamuosius teisės aktus.</w:t>
      </w:r>
    </w:p>
    <w:p>
      <w:pPr>
        <w:widowControl w:val="0"/>
        <w:suppressAutoHyphens/>
        <w:ind w:firstLine="567"/>
        <w:jc w:val="both"/>
        <w:rPr>
          <w:i/>
          <w:iCs/>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tabs>
          <w:tab w:val="right" w:pos="9071"/>
        </w:tabs>
        <w:suppressAutoHyphens/>
        <w:rPr>
          <w:i/>
          <w:iCs/>
          <w:color w:val="000000"/>
        </w:rPr>
      </w:pPr>
    </w:p>
    <w:p>
      <w:pPr>
        <w:widowControl w:val="0"/>
        <w:tabs>
          <w:tab w:val="right" w:pos="9071"/>
        </w:tabs>
        <w:suppressAutoHyphens/>
        <w:rPr>
          <w:i/>
          <w:iC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0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9221</Characters>
  <Application>Microsoft Office Word</Application>
  <DocSecurity>4</DocSecurity>
  <Lines>158</Lines>
  <Paragraphs>53</Paragraphs>
  <ScaleCrop>false</ScaleCrop>
  <Company/>
  <LinksUpToDate>false</LinksUpToDate>
  <CharactersWithSpaces>10487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2015-07-02T15:10:00Z</dcterms:created>
  <dc:creator>Rima</dc:creator>
  <lastModifiedBy>Adlib User</lastModifiedBy>
  <dcterms:modified xsi:type="dcterms:W3CDTF">2015-07-02T15:10:00Z</dcterms:modified>
  <revision>2</revision>
  <dc:title>LIETUVOS RESPUBLIKOS DARBUOTOJŲ SAUGOS IR SVEIKATOS ĮSTATYMO</dc:title>
</coreProperties>
</file>