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DCDA" w14:textId="183729A8" w:rsidR="00A46FB4" w:rsidRDefault="00BC7993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2580DD3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TRIUKŠMO VALDYMO ĮSTATYMO 2, 4, 5, 6, 11, 13, 14, 25 STRAIPSNIŲ PAKEITIMO IR PAPILDYMO IR </w:t>
      </w:r>
      <w:r>
        <w:rPr>
          <w:b/>
          <w:bCs/>
          <w:caps/>
          <w:color w:val="000000"/>
        </w:rPr>
        <w:t xml:space="preserve">12 STRAIPSNIO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PRIPAŽINIMO NETEKUSIU GALIOS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2580DCDB" w14:textId="77777777" w:rsidR="00A46FB4" w:rsidRDefault="00A46FB4">
      <w:pPr>
        <w:widowControl w:val="0"/>
        <w:suppressAutoHyphens/>
        <w:jc w:val="center"/>
        <w:rPr>
          <w:color w:val="000000"/>
        </w:rPr>
      </w:pPr>
    </w:p>
    <w:p w14:paraId="2580DCDC" w14:textId="77777777" w:rsidR="00A46FB4" w:rsidRDefault="00BC799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balandžio 20 d. Nr. XI-769</w:t>
      </w:r>
    </w:p>
    <w:p w14:paraId="2580DCDD" w14:textId="77777777" w:rsidR="00A46FB4" w:rsidRDefault="00BC799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580DCDE" w14:textId="77777777" w:rsidR="00A46FB4" w:rsidRDefault="00A46FB4">
      <w:pPr>
        <w:widowControl w:val="0"/>
        <w:suppressAutoHyphens/>
        <w:jc w:val="center"/>
        <w:rPr>
          <w:color w:val="000000"/>
        </w:rPr>
      </w:pPr>
    </w:p>
    <w:p w14:paraId="2580DCDF" w14:textId="77777777" w:rsidR="00A46FB4" w:rsidRDefault="00BC799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2004,</w:t>
      </w:r>
      <w:r>
        <w:rPr>
          <w:color w:val="000000"/>
        </w:rPr>
        <w:t xml:space="preserve"> Nr. </w:t>
      </w:r>
      <w:hyperlink r:id="rId8" w:tgtFrame="_blank" w:history="1">
        <w:r>
          <w:rPr>
            <w:color w:val="0000FF" w:themeColor="hyperlink"/>
            <w:u w:val="single"/>
          </w:rPr>
          <w:t>164-5971</w:t>
        </w:r>
      </w:hyperlink>
      <w:r>
        <w:rPr>
          <w:color w:val="000000"/>
        </w:rPr>
        <w:t xml:space="preserve">; 2006, Nr. </w:t>
      </w:r>
      <w:hyperlink r:id="rId9" w:tgtFrame="_blank" w:history="1">
        <w:r>
          <w:rPr>
            <w:color w:val="0000FF" w:themeColor="hyperlink"/>
            <w:u w:val="single"/>
          </w:rPr>
          <w:t>73-2760</w:t>
        </w:r>
      </w:hyperlink>
      <w:r>
        <w:rPr>
          <w:color w:val="000000"/>
        </w:rPr>
        <w:t>)</w:t>
      </w:r>
    </w:p>
    <w:p w14:paraId="2580DCE0" w14:textId="77777777" w:rsidR="00A46FB4" w:rsidRDefault="00A46FB4">
      <w:pPr>
        <w:widowControl w:val="0"/>
        <w:suppressAutoHyphens/>
        <w:ind w:firstLine="567"/>
        <w:jc w:val="both"/>
        <w:rPr>
          <w:color w:val="000000"/>
        </w:rPr>
      </w:pPr>
    </w:p>
    <w:p w14:paraId="2580DCE1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papildymas ir pakeitimas</w:t>
      </w:r>
    </w:p>
    <w:p w14:paraId="2580DCE2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</w:t>
      </w:r>
      <w:r>
        <w:rPr>
          <w:color w:val="000000"/>
        </w:rPr>
        <w:t>pildyti 2 straipsnį nauja 22 dalimi:</w:t>
      </w:r>
    </w:p>
    <w:p w14:paraId="2580DCE3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Triukšmo prevencijos zona</w:t>
      </w:r>
      <w:r>
        <w:rPr>
          <w:color w:val="000000"/>
        </w:rPr>
        <w:t xml:space="preserve"> – gyvenamosios (-</w:t>
      </w:r>
      <w:proofErr w:type="spellStart"/>
      <w:r>
        <w:rPr>
          <w:color w:val="000000"/>
        </w:rPr>
        <w:t>ųjų</w:t>
      </w:r>
      <w:proofErr w:type="spellEnd"/>
      <w:r>
        <w:rPr>
          <w:color w:val="000000"/>
        </w:rPr>
        <w:t>) vietovės (-</w:t>
      </w:r>
      <w:proofErr w:type="spellStart"/>
      <w:r>
        <w:rPr>
          <w:color w:val="000000"/>
        </w:rPr>
        <w:t>ių</w:t>
      </w:r>
      <w:proofErr w:type="spellEnd"/>
      <w:r>
        <w:rPr>
          <w:color w:val="000000"/>
        </w:rPr>
        <w:t>) teritorija, kurioje triukšmas viršija ribinius dydžius ir kurioje būtina įgyvendinti triukšmo prevencijos ir mažinimo priemones.“</w:t>
      </w:r>
    </w:p>
    <w:p w14:paraId="2580DCE4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Buvusias</w:t>
      </w:r>
      <w:r>
        <w:rPr>
          <w:color w:val="000000"/>
        </w:rPr>
        <w:t xml:space="preserve"> 2 straipsnio 22–27 dalis laikyti atitinkamai 23–28 dalimis.</w:t>
      </w:r>
    </w:p>
    <w:p w14:paraId="2580DCE5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E6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3 punkto pripažinimas netekusiu galios</w:t>
      </w:r>
    </w:p>
    <w:p w14:paraId="2580DCE7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 straipsnio 3 punktą pripažinti netekusiu galios.</w:t>
      </w:r>
    </w:p>
    <w:p w14:paraId="2580DCE8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E9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2 dalies 4 punkto pakeitimas ir pap</w:t>
      </w:r>
      <w:r>
        <w:rPr>
          <w:b/>
          <w:bCs/>
          <w:color w:val="000000"/>
        </w:rPr>
        <w:t>ildymas 5 punktu</w:t>
      </w:r>
    </w:p>
    <w:p w14:paraId="2580DCEA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5 straipsnio 2 dalies 4 punktą ir jį išdėstyti taip:</w:t>
      </w:r>
    </w:p>
    <w:p w14:paraId="2580DCEB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savivaldybių, kurių teritorijose yra triukšmo prevencijos zonos, institucijų nuomonę ir pasiūlymus;“.</w:t>
      </w:r>
    </w:p>
    <w:p w14:paraId="2580DCEC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5 straipsnio 2 dalį 5 punktu:</w:t>
      </w:r>
    </w:p>
    <w:p w14:paraId="2580DCED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) </w:t>
      </w:r>
      <w:r>
        <w:rPr>
          <w:color w:val="000000"/>
        </w:rPr>
        <w:t>savivaldybių, kurių teritorijos patenka į saugomų teritorijų ribas, saugomų teritorijų administracijų nuomonę ir pasiūlymus.“</w:t>
      </w:r>
    </w:p>
    <w:p w14:paraId="2580DCEE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EF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papildymas ir pakeitimas</w:t>
      </w:r>
    </w:p>
    <w:p w14:paraId="2580DCF0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6 straipsnį nauju 4 punktu:</w:t>
      </w:r>
    </w:p>
    <w:p w14:paraId="2580DCF1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įtraukia triukšm</w:t>
      </w:r>
      <w:r>
        <w:rPr>
          <w:color w:val="000000"/>
        </w:rPr>
        <w:t>o prevencijos ir mažinimo priemones į rengiamus regionų plėtros planų projektus;“.</w:t>
      </w:r>
    </w:p>
    <w:p w14:paraId="2580DCF2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Buvusį 6 straipsnio 4 punktą laikyti 5 punktu.</w:t>
      </w:r>
    </w:p>
    <w:p w14:paraId="2580DCF3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F4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11 straipsnio 1 dalies ir 3 dalies 5 punkto pakeitimas</w:t>
      </w:r>
    </w:p>
    <w:p w14:paraId="2580DCF5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11 straipsnio 1 dalį ir</w:t>
      </w:r>
      <w:r>
        <w:rPr>
          <w:color w:val="000000"/>
        </w:rPr>
        <w:t xml:space="preserve"> ją išdėstyti taip:</w:t>
      </w:r>
    </w:p>
    <w:p w14:paraId="2580DCF6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Triukšmo prevencijos plėtros klausimus nagrinėja ir pasiūlymus valstybės ir savivaldybių institucijoms, įgyvendinančioms valstybės politiką triukšmo prevencijos srityje ir Valstybinę triukšmo prevencijos veiksmų programą, teikia n</w:t>
      </w:r>
      <w:r>
        <w:rPr>
          <w:color w:val="000000"/>
        </w:rPr>
        <w:t>uolatinė Triukšmo prevencijos taryba. Ši taryba sudaroma iš valstybės institucijų, saugomų teritorijų administracijų, Lietuvos savivaldybių asociacijos, mokslo institucijų ir visuomenės atstovų. Ne mažiau kaip pusė Triukšmo prevencijos tarybos narių turi b</w:t>
      </w:r>
      <w:r>
        <w:rPr>
          <w:color w:val="000000"/>
        </w:rPr>
        <w:t>ūti mokslininkai ir specialistai, dirbantys triukšmo prevencijos srityje.“</w:t>
      </w:r>
    </w:p>
    <w:p w14:paraId="2580DCF7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11 straipsnio 3 dalies 5 punktą ir jį išdėstyti taip:</w:t>
      </w:r>
    </w:p>
    <w:p w14:paraId="2580DCF8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) Vyriausybei, valstybės ir savivaldybių institucijoms teikia pasiūlymus dėl triukšmo valdymo problemų </w:t>
      </w:r>
      <w:r>
        <w:rPr>
          <w:color w:val="000000"/>
        </w:rPr>
        <w:t>sprendimo;“.</w:t>
      </w:r>
    </w:p>
    <w:p w14:paraId="2580DCF9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FA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12 straipsnio pripažinimas netekusiu galios</w:t>
      </w:r>
    </w:p>
    <w:p w14:paraId="2580DCFB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 straipsnį pripažinti netekusiu galios.</w:t>
      </w:r>
    </w:p>
    <w:p w14:paraId="2580DCFC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CFD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13 straipsnio pakeitimas</w:t>
      </w:r>
    </w:p>
    <w:p w14:paraId="2580DCFE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13 straipsnį ir jį išdėstyti taip:</w:t>
      </w:r>
    </w:p>
    <w:p w14:paraId="2580DCFF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Savivaldybių institu</w:t>
      </w:r>
      <w:r>
        <w:rPr>
          <w:b/>
          <w:bCs/>
          <w:color w:val="000000"/>
        </w:rPr>
        <w:t>cijų kompetencija</w:t>
      </w:r>
    </w:p>
    <w:p w14:paraId="2580DD00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Savivaldybių tarybos:</w:t>
      </w:r>
    </w:p>
    <w:p w14:paraId="2580DD01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nustato tyliąsias zonas;</w:t>
      </w:r>
    </w:p>
    <w:p w14:paraId="2580DD02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tvirtina triukšmo prevencijos viešosiose vietose taisykles;</w:t>
      </w:r>
    </w:p>
    <w:p w14:paraId="2580DD03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tvirtina triukšmo savivaldybės teritorijoje rodiklius; </w:t>
      </w:r>
    </w:p>
    <w:p w14:paraId="2580DD04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tvirtina aglomeracijų strateginius triukšmo žemėlapius; </w:t>
      </w:r>
    </w:p>
    <w:p w14:paraId="2580DD05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tvirtina triukšmo prevencijos zonas;</w:t>
      </w:r>
    </w:p>
    <w:p w14:paraId="2580DD06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tvirtina savivaldybės triukšmo prevencijos veiksmų planus;</w:t>
      </w:r>
    </w:p>
    <w:p w14:paraId="2580DD07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prižiūri, kaip savivaldybės vykdomosios institucijos, kiti pavaldūs viešojo admi</w:t>
      </w:r>
      <w:r>
        <w:rPr>
          <w:color w:val="000000"/>
        </w:rPr>
        <w:t>nistravimo subjektai įgyvendina funkcijas triukšmo valdymo srityje.</w:t>
      </w:r>
    </w:p>
    <w:p w14:paraId="2580DD08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Savivaldybių vykdomosios institucijos, kiti pavaldūs viešojo administravimo subjektai:</w:t>
      </w:r>
    </w:p>
    <w:p w14:paraId="2580DD09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įgyvendina patvirtintą Valstybinę triukšmo prevencijos veiksmų programą;</w:t>
      </w:r>
    </w:p>
    <w:p w14:paraId="2580DD0A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rengia </w:t>
      </w:r>
      <w:r>
        <w:rPr>
          <w:color w:val="000000"/>
        </w:rPr>
        <w:t>teritorijų planavimo sprendinių, susijusių su triukšmo prevencija, viešą svarstymą, poveikio aplinkai vertinimo svarstymą;</w:t>
      </w:r>
    </w:p>
    <w:p w14:paraId="2580DD0B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atlieka teritorijų planavimo sprendinių, susijusių su triukšmo prevencija, analizę, vertinimą ir poveikio visuomenės sveikatai</w:t>
      </w:r>
      <w:r>
        <w:rPr>
          <w:color w:val="000000"/>
        </w:rPr>
        <w:t xml:space="preserve"> vertinimą;</w:t>
      </w:r>
    </w:p>
    <w:p w14:paraId="2580DD0C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nustato muzikinių ir kitų masinių renginių, kuriuos organizuoja juridiniai ir fiziniai asmenys, trukmę; </w:t>
      </w:r>
    </w:p>
    <w:p w14:paraId="2580DD0D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rengia aglomeracijų strateginius triukšmo žemėlapius; </w:t>
      </w:r>
    </w:p>
    <w:p w14:paraId="2580DD0E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rengia savivaldybės triukšmo prevencijos veiksmų planus;</w:t>
      </w:r>
    </w:p>
    <w:p w14:paraId="2580DD0F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</w:t>
      </w:r>
      <w:r>
        <w:rPr>
          <w:color w:val="000000"/>
        </w:rPr>
        <w:t xml:space="preserve"> įgyvendina triukšmo prevencijos ir mažinimo priemones, įtrauktas į regionų plėtros planus;</w:t>
      </w:r>
    </w:p>
    <w:p w14:paraId="2580DD10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) organizuoja triukšmo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(monitoringo) tyliosiose zonose atlikimą;</w:t>
      </w:r>
    </w:p>
    <w:p w14:paraId="2580DD11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vykdo triukšmo, kylančio atliekant statybos, remonto darbus gyvenamosiose pa</w:t>
      </w:r>
      <w:r>
        <w:rPr>
          <w:color w:val="000000"/>
        </w:rPr>
        <w:t>talpose ir gyvenamosiose teritorijose, kontrolę, atlieka triukšmo prevencijos viešosiose vietose taisyklių vykdymo kontrolę;</w:t>
      </w:r>
    </w:p>
    <w:p w14:paraId="2580DD12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atlieka k</w:t>
      </w:r>
      <w:bookmarkStart w:id="0" w:name="_GoBack"/>
      <w:bookmarkEnd w:id="0"/>
      <w:r>
        <w:rPr>
          <w:color w:val="000000"/>
        </w:rPr>
        <w:t>itas triukšmo valdymo funkcijas, numatytas šiame įstatyme ir kituose teisės aktuose.</w:t>
      </w:r>
    </w:p>
    <w:p w14:paraId="2580DD13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Savivaldybių institucijos privalo reikalauti, kad: </w:t>
      </w:r>
    </w:p>
    <w:p w14:paraId="2580DD14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triukšmo šaltinių valdytojai tikslintų ir keistų triukšmo prevencijos veiksmų planus ir juos įgyvendintų, tikslintų ir keistų triukšmo šaltinių naudojimo trukmę ir konkretų šių šaltinių veiklos pra</w:t>
      </w:r>
      <w:r>
        <w:rPr>
          <w:color w:val="000000"/>
        </w:rPr>
        <w:t>džios ir pabaigos laiką;</w:t>
      </w:r>
    </w:p>
    <w:p w14:paraId="2580DD15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išduodant leidimą statyti, statinių projektų sprendiniuose būtų numatytos teisės aktų nustatytos apsaugos nuo triukšmo priemonės, o užbaigtuose statiniuose būtų atliktos ekspertizės ir nustatyta, ar įgyvendinti visi triukšmo</w:t>
      </w:r>
      <w:r>
        <w:rPr>
          <w:color w:val="000000"/>
        </w:rPr>
        <w:t xml:space="preserve"> mažinimo reikalavimai.</w:t>
      </w:r>
    </w:p>
    <w:p w14:paraId="2580DD16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Savivaldybės taryba gali 50 m atstumu aplink tyliųjų viešųjų zonų triukšmo šaltinį nustatyti žemesnį leidžiamą triukšmo lygį negu yra nustatytas triukšmo lygis tyliojoje viešojoje zonoje, jeigu ji pripažįsta, kad tyliųjų vi</w:t>
      </w:r>
      <w:r>
        <w:rPr>
          <w:color w:val="000000"/>
        </w:rPr>
        <w:t>ešųjų zonų atskiros vietos dėl jose esančių triukšmo šaltinių kelia pavojų žmonių sveikatai.</w:t>
      </w:r>
    </w:p>
    <w:p w14:paraId="2580DD17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Triukšmo lygis dviejose ar daugiau tyliųjų viešųjų zonų ir tyliosiose gamtos zonose neturi viršyti triukšmo lygio, nustatyto bet kuriai iš tyliųjų viešųjų z</w:t>
      </w:r>
      <w:r>
        <w:rPr>
          <w:color w:val="000000"/>
        </w:rPr>
        <w:t>onų ir tyliųjų gamtos zonų laikantis higienos normų reikalavimų.“</w:t>
      </w:r>
    </w:p>
    <w:p w14:paraId="2580DD18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D19" w14:textId="77777777" w:rsidR="00A46FB4" w:rsidRDefault="00BC7993">
      <w:pPr>
        <w:widowControl w:val="0"/>
        <w:suppressAutoHyphens/>
        <w:ind w:left="1920" w:hanging="13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14 straipsnio 4, 5 dalių pakeitimas ir 6 dalies pripažinimas netekusia galios</w:t>
      </w:r>
    </w:p>
    <w:p w14:paraId="2580DD1A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14 straipsnio 4 dalį ir ją išdėstyti taip:</w:t>
      </w:r>
    </w:p>
    <w:p w14:paraId="2580DD1B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Triukšmo šaltinių va</w:t>
      </w:r>
      <w:r>
        <w:rPr>
          <w:color w:val="000000"/>
        </w:rPr>
        <w:t>ldytojai, veikiantys ar vykdantys ūkinę veiklą savivaldybės tarybos patvirtintose triukšmo prevencijos zonose:</w:t>
      </w:r>
    </w:p>
    <w:p w14:paraId="2580DD1C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per 30 dienų nuo šių zonų patvirtinimo privalo pateikti savivaldybės vykdomajai institucijai derinti triukšmo prevencijos veiksmų planus;</w:t>
      </w:r>
    </w:p>
    <w:p w14:paraId="2580DD1D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privalo kasmet pateikti savivaldybės vykdomajai institucijai triukšmo prevencijos veiksmų planų įgyvendinimo ataskaitas.“</w:t>
      </w:r>
    </w:p>
    <w:p w14:paraId="2580DD1E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14 straipsnio 5 dalį ir ją išdėstyti taip:</w:t>
      </w:r>
    </w:p>
    <w:p w14:paraId="2580DD1F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Bet koks asmuo, veikiantis ar vykdantis ūkinę veiklą saviv</w:t>
      </w:r>
      <w:r>
        <w:rPr>
          <w:color w:val="000000"/>
        </w:rPr>
        <w:t>aldybės tarybos patvirtintose triukšmo prevencijos zonose, turi teisę pateikti savivaldybės vykdomajai institucijai motyvuotus pareiškimus dėl triukšmo šaltinių valdytojų veiklos ir dėl šioje veikloje atsirandančio triukšmo prevencijos ir mažinimo.“</w:t>
      </w:r>
    </w:p>
    <w:p w14:paraId="2580DD20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14 straipsnio 6 dalį pripažinti netekusia galios.</w:t>
      </w:r>
    </w:p>
    <w:p w14:paraId="2580DD21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D22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25 straipsnio 1 dalies pakeitimas</w:t>
      </w:r>
    </w:p>
    <w:p w14:paraId="2580DD23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25 straipsnio 1 dalį ir ją išdėstyti taip:</w:t>
      </w:r>
    </w:p>
    <w:p w14:paraId="2580DD24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Pirminė ar suvestinė triukšmo valdymo informacija Triukšmo prevencijos tarybai, valsty</w:t>
      </w:r>
      <w:r>
        <w:rPr>
          <w:color w:val="000000"/>
        </w:rPr>
        <w:t>bės ir savivaldybių institucijoms teikiama Vyriausybės nustatyta tvarka.“</w:t>
      </w:r>
    </w:p>
    <w:p w14:paraId="2580DD25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D26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Pasiūlymas Lietuvos Respublikos Vyriausybei</w:t>
      </w:r>
    </w:p>
    <w:p w14:paraId="2580DD27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Respublikos Vyriausybė iki 2010 m. liepos 1 d. priima šio įstatymo įgyvendinamuosius teisės aktus.</w:t>
      </w:r>
    </w:p>
    <w:p w14:paraId="2580DD28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D29" w14:textId="77777777" w:rsidR="00A46FB4" w:rsidRDefault="00BC799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2580DD2A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įstatymas, išskyrus 10 straipsnį, įsigalioja 2010 m. liepos 1 d.</w:t>
      </w:r>
    </w:p>
    <w:p w14:paraId="2580DD2B" w14:textId="77777777" w:rsidR="00A46FB4" w:rsidRDefault="00BC7993">
      <w:pPr>
        <w:widowControl w:val="0"/>
        <w:suppressAutoHyphens/>
        <w:ind w:firstLine="567"/>
        <w:jc w:val="both"/>
        <w:rPr>
          <w:color w:val="000000"/>
        </w:rPr>
      </w:pPr>
    </w:p>
    <w:p w14:paraId="2580DD2C" w14:textId="00D1444E" w:rsidR="00A46FB4" w:rsidRDefault="00BC7993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2580DD2D" w14:textId="77777777" w:rsidR="00A46FB4" w:rsidRDefault="00A46FB4">
      <w:pPr>
        <w:widowControl w:val="0"/>
        <w:suppressAutoHyphens/>
        <w:ind w:firstLine="567"/>
        <w:jc w:val="both"/>
        <w:rPr>
          <w:color w:val="000000"/>
        </w:rPr>
      </w:pPr>
    </w:p>
    <w:p w14:paraId="2580DD2E" w14:textId="77777777" w:rsidR="00A46FB4" w:rsidRDefault="00A46FB4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580DD2F" w14:textId="77777777" w:rsidR="00A46FB4" w:rsidRDefault="00BC799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2580DD31" w14:textId="5388C1B8" w:rsidR="00A46FB4" w:rsidRDefault="00A46FB4">
      <w:pPr>
        <w:jc w:val="center"/>
      </w:pPr>
    </w:p>
    <w:p w14:paraId="2580DD32" w14:textId="41E7FF95" w:rsidR="00A46FB4" w:rsidRDefault="00BC7993"/>
    <w:sectPr w:rsidR="00A46FB4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C"/>
    <w:rsid w:val="00A46FB4"/>
    <w:rsid w:val="00BC7993"/>
    <w:rsid w:val="00E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0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7E6F5E3523EA"/>
  <Relationship Id="rId9" Type="http://schemas.openxmlformats.org/officeDocument/2006/relationships/hyperlink" TargetMode="External" Target="https://www.e-tar.lt/portal/lt/legalAct/TAR.9A1B962D945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1"/>
    <w:rsid w:val="000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72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7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4643</Words>
  <Characters>2648</Characters>
  <Application>Microsoft Office Word</Application>
  <DocSecurity>0</DocSecurity>
  <Lines>22</Lines>
  <Paragraphs>14</Paragraphs>
  <ScaleCrop>false</ScaleCrop>
  <Company/>
  <LinksUpToDate>false</LinksUpToDate>
  <CharactersWithSpaces>7277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2015-08-31T01:40:00Z</dcterms:created>
  <dc:creator>Rima</dc:creator>
  <lastModifiedBy>TRAPINSKIENĖ Aušrinė</lastModifiedBy>
  <dcterms:modified xsi:type="dcterms:W3CDTF">2016-05-18T08:43:00Z</dcterms:modified>
  <revision>3</revision>
  <dc:title>LIETUVOS RESPUBLIKOS TRIUKŠMO VALDYMO ĮSTATYMO 2, 4, 5, 6, 11, 13, 14, 25 STRAIPSNIŲ PAKEITIMO IR PAPILDYMO IR 12 STRAIPSNIO PRIPAŽINIMO NETEKUSIU GALIOS ĮSTATYMAS</dc:title>
</coreProperties>
</file>