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KREDITO UNIJŲ ĮSTATYMO 5, 6, 9, 11, 22 STRAIPSNIŲ PAKEITIMO IR PAPILDYMO ĮSTATYMAS</w:t>
      </w:r>
    </w:p>
    <w:p>
      <w:pPr>
        <w:widowControl w:val="0"/>
        <w:suppressAutoHyphens/>
        <w:jc w:val="center"/>
        <w:rPr>
          <w:color w:val="000000"/>
        </w:rPr>
      </w:pPr>
    </w:p>
    <w:p>
      <w:pPr>
        <w:keepLines/>
        <w:widowControl w:val="0"/>
        <w:suppressAutoHyphens/>
        <w:jc w:val="center"/>
        <w:rPr>
          <w:color w:val="000000"/>
        </w:rPr>
      </w:pPr>
      <w:r>
        <w:rPr>
          <w:color w:val="000000"/>
        </w:rPr>
        <w:t>2009 m. gruodžio 22 d. Nr. XI-597</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1995, Nr. </w:t>
      </w:r>
      <w:fldSimple w:instr="HYPERLINK https://www.e-tar.lt/portal/lt/legalAct/TAR.DE0B1FF26D01 \t _blank">
        <w:r>
          <w:rPr>
            <w:color w:val="0000FF" w:themeColor="hyperlink"/>
            <w:u w:val="single"/>
          </w:rPr>
          <w:t>26-578</w:t>
        </w:r>
      </w:fldSimple>
      <w:r>
        <w:rPr>
          <w:color w:val="000000"/>
        </w:rPr>
        <w:t xml:space="preserve">; 2008, Nr. </w:t>
      </w:r>
      <w:fldSimple w:instr="HYPERLINK https://www.e-tar.lt/portal/lt/legalAct/TAR.DA5DEF72950D \t _blank">
        <w:r>
          <w:rPr>
            <w:color w:val="0000FF" w:themeColor="hyperlink"/>
            <w:u w:val="single"/>
          </w:rPr>
          <w:t>76-3003</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5 straipsnio 9 dalies 3 punkto ir 10 dalies pakeitimas</w:t>
      </w:r>
    </w:p>
    <w:p>
      <w:pPr>
        <w:widowControl w:val="0"/>
        <w:suppressAutoHyphens/>
        <w:ind w:firstLine="567"/>
        <w:jc w:val="both"/>
        <w:rPr>
          <w:color w:val="000000"/>
        </w:rPr>
      </w:pPr>
      <w:r>
        <w:rPr>
          <w:color w:val="000000"/>
        </w:rPr>
        <w:t>1</w:t>
      </w:r>
      <w:r>
        <w:rPr>
          <w:color w:val="000000"/>
        </w:rPr>
        <w:t>. 5 straipsnio 9 dalies 3 punkte po žodžio „pavadinimas“ įrašyti žodžius „ir buveinė“ ir šį punktą išdėstyti taip:</w:t>
      </w:r>
    </w:p>
    <w:p>
      <w:pPr>
        <w:widowControl w:val="0"/>
        <w:suppressAutoHyphens/>
        <w:ind w:firstLine="567"/>
        <w:jc w:val="both"/>
        <w:rPr>
          <w:color w:val="000000"/>
        </w:rPr>
      </w:pPr>
      <w:r>
        <w:rPr>
          <w:color w:val="000000"/>
        </w:rPr>
        <w:t>„</w:t>
      </w:r>
      <w:r>
        <w:rPr>
          <w:color w:val="000000"/>
        </w:rPr>
        <w:t>3</w:t>
      </w:r>
      <w:r>
        <w:rPr>
          <w:color w:val="000000"/>
        </w:rPr>
        <w:t>) kredito unijos pavadinimas ir buveinė;“.</w:t>
      </w:r>
    </w:p>
    <w:p>
      <w:pPr>
        <w:widowControl w:val="0"/>
        <w:suppressAutoHyphens/>
        <w:ind w:firstLine="567"/>
        <w:jc w:val="both"/>
        <w:rPr>
          <w:color w:val="000000"/>
        </w:rPr>
      </w:pPr>
      <w:r>
        <w:rPr>
          <w:color w:val="000000"/>
        </w:rPr>
        <w:t>2</w:t>
      </w:r>
      <w:r>
        <w:rPr>
          <w:color w:val="000000"/>
        </w:rPr>
        <w:t>. 5 straipsnio 10 dalyje vietoj žodžių „turi būti patvirtintas notaro“ įrašyti žodžius „notaro netvirtinamas“ ir šią dalį išdėstyti taip:</w:t>
      </w:r>
    </w:p>
    <w:p>
      <w:pPr>
        <w:widowControl w:val="0"/>
        <w:suppressAutoHyphens/>
        <w:ind w:firstLine="567"/>
        <w:jc w:val="both"/>
        <w:rPr>
          <w:color w:val="000000"/>
        </w:rPr>
      </w:pPr>
      <w:r>
        <w:rPr>
          <w:color w:val="000000"/>
        </w:rPr>
        <w:t>„</w:t>
      </w:r>
      <w:r>
        <w:rPr>
          <w:color w:val="000000"/>
        </w:rPr>
        <w:t>10</w:t>
      </w:r>
      <w:r>
        <w:rPr>
          <w:color w:val="000000"/>
        </w:rPr>
        <w:t>. Steigimo sutartį privalo pasirašyti visi steigėjai. Kredito unijos steigimo sutartį pasirašiusių fizinių asmenų parašų tikrumas notaro netvirtinamas.“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6 straipsnio 1 dalies pakeitimas</w:t>
      </w:r>
    </w:p>
    <w:p>
      <w:pPr>
        <w:widowControl w:val="0"/>
        <w:suppressAutoHyphens/>
        <w:ind w:firstLine="567"/>
        <w:jc w:val="both"/>
        <w:rPr>
          <w:color w:val="000000"/>
        </w:rPr>
      </w:pPr>
      <w:r>
        <w:rPr>
          <w:color w:val="000000"/>
        </w:rPr>
        <w:t>6 straipsnio 1 dalyje vietoj žodžių „tos dienos, kai kredito unijos steigimo sutartį pasirašiusių fizinių asmenų parašų tikrumą patvirtinta notaras“ įrašyti žodžius „kredito unijos steigimo sutarties pasirašymo dienos“ ir šią dalį išdėstyti taip:</w:t>
      </w:r>
    </w:p>
    <w:p>
      <w:pPr>
        <w:widowControl w:val="0"/>
        <w:suppressAutoHyphens/>
        <w:ind w:firstLine="567"/>
        <w:jc w:val="both"/>
        <w:rPr>
          <w:color w:val="000000"/>
        </w:rPr>
      </w:pPr>
      <w:r>
        <w:rPr>
          <w:color w:val="000000"/>
        </w:rPr>
        <w:t>„</w:t>
      </w:r>
      <w:r>
        <w:rPr>
          <w:color w:val="000000"/>
        </w:rPr>
        <w:t>1</w:t>
      </w:r>
      <w:r>
        <w:rPr>
          <w:color w:val="000000"/>
        </w:rPr>
        <w:t>. Kredito unijos steigėjai privalo sušaukti steigiamąjį susirinkimą ne vėliau kaip per 60 dienų nuo kredito unijos steigimo sutarties pasirašymo dienos.“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9 straipsnio 4 dalies 1 punkto pakeitimas</w:t>
      </w:r>
    </w:p>
    <w:p>
      <w:pPr>
        <w:widowControl w:val="0"/>
        <w:suppressAutoHyphens/>
        <w:ind w:firstLine="567"/>
        <w:jc w:val="both"/>
        <w:rPr>
          <w:color w:val="000000"/>
        </w:rPr>
      </w:pPr>
      <w:r>
        <w:rPr>
          <w:color w:val="000000"/>
        </w:rPr>
        <w:t>9 straipsnio 4 dalies 1 punkte išbraukti žodžius „ir kredito unijos registravimo pažymėjimą“ ir šį punktą išdėstyti taip:</w:t>
      </w:r>
    </w:p>
    <w:p>
      <w:pPr>
        <w:widowControl w:val="0"/>
        <w:suppressAutoHyphens/>
        <w:ind w:firstLine="567"/>
        <w:jc w:val="both"/>
        <w:rPr>
          <w:color w:val="000000"/>
        </w:rPr>
      </w:pPr>
      <w:r>
        <w:rPr>
          <w:color w:val="000000"/>
        </w:rPr>
        <w:t>„</w:t>
      </w:r>
      <w:r>
        <w:rPr>
          <w:color w:val="000000"/>
        </w:rPr>
        <w:t>1</w:t>
      </w:r>
      <w:r>
        <w:rPr>
          <w:color w:val="000000"/>
        </w:rPr>
        <w:t xml:space="preserve">) juridinių asmenų registre įregistruotus kredito unijos įstatus;“. </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 xml:space="preserve">11 straipsnio 1 dalies 1 punkto pakeitimas </w:t>
      </w:r>
    </w:p>
    <w:p>
      <w:pPr>
        <w:widowControl w:val="0"/>
        <w:suppressAutoHyphens/>
        <w:ind w:firstLine="567"/>
        <w:jc w:val="both"/>
        <w:rPr>
          <w:color w:val="000000"/>
        </w:rPr>
      </w:pPr>
      <w:r>
        <w:rPr>
          <w:color w:val="000000"/>
        </w:rPr>
        <w:t xml:space="preserve">11 straipsnio 1 dalies 1 punkte išbraukti žodžius „ar buveinės“ ir šį punktą išdėstyti taip: </w:t>
      </w:r>
    </w:p>
    <w:p>
      <w:pPr>
        <w:widowControl w:val="0"/>
        <w:suppressAutoHyphens/>
        <w:ind w:firstLine="567"/>
        <w:jc w:val="both"/>
        <w:rPr>
          <w:color w:val="000000"/>
        </w:rPr>
      </w:pPr>
      <w:r>
        <w:rPr>
          <w:color w:val="000000"/>
        </w:rPr>
        <w:t>„</w:t>
      </w:r>
      <w:r>
        <w:rPr>
          <w:color w:val="000000"/>
        </w:rPr>
        <w:t>1</w:t>
      </w:r>
      <w:r>
        <w:rPr>
          <w:color w:val="000000"/>
        </w:rPr>
        <w:t>) kredito unijos pavadinimo;“.</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22 straipsnio 2 dalies papildymas ir pakeitimas</w:t>
      </w:r>
    </w:p>
    <w:p>
      <w:pPr>
        <w:widowControl w:val="0"/>
        <w:suppressAutoHyphens/>
        <w:ind w:firstLine="567"/>
        <w:jc w:val="both"/>
        <w:rPr>
          <w:color w:val="000000"/>
        </w:rPr>
      </w:pPr>
      <w:r>
        <w:rPr>
          <w:color w:val="000000"/>
        </w:rPr>
        <w:t>1</w:t>
      </w:r>
      <w:r>
        <w:rPr>
          <w:color w:val="000000"/>
        </w:rPr>
        <w:t>. Papildyti 22 straipsnio 2 dalį nauju 2 punktu:</w:t>
      </w:r>
    </w:p>
    <w:p>
      <w:pPr>
        <w:widowControl w:val="0"/>
        <w:suppressAutoHyphens/>
        <w:ind w:firstLine="567"/>
        <w:jc w:val="both"/>
        <w:rPr>
          <w:color w:val="000000"/>
        </w:rPr>
      </w:pPr>
      <w:r>
        <w:rPr>
          <w:color w:val="000000"/>
        </w:rPr>
        <w:t>„</w:t>
      </w:r>
      <w:r>
        <w:rPr>
          <w:color w:val="000000"/>
        </w:rPr>
        <w:t>2</w:t>
      </w:r>
      <w:r>
        <w:rPr>
          <w:color w:val="000000"/>
        </w:rPr>
        <w:t>) keisti kredito unijos buveinę;“.</w:t>
      </w:r>
    </w:p>
    <w:p>
      <w:pPr>
        <w:widowControl w:val="0"/>
        <w:suppressAutoHyphens/>
        <w:ind w:firstLine="567"/>
        <w:jc w:val="both"/>
        <w:rPr>
          <w:color w:val="000000"/>
        </w:rPr>
      </w:pPr>
      <w:r>
        <w:rPr>
          <w:color w:val="000000"/>
        </w:rPr>
        <w:t>2</w:t>
      </w:r>
      <w:r>
        <w:rPr>
          <w:color w:val="000000"/>
        </w:rPr>
        <w:t>. Buvusius 22 straipsnio 2 dalies 2, 3, 4, 5, 6, 7, 8, 9, 10, 11, 12 ir 13 punktus laikyti atitinkamai 3, 4, 5, 6, 7, 8, 9, 10, 11, 12, 13 ir 14 punktais.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1731</Characters>
  <Application>Microsoft Office Word</Application>
  <DocSecurity>4</DocSecurity>
  <Lines>45</Lines>
  <Paragraphs>29</Paragraphs>
  <ScaleCrop>false</ScaleCrop>
  <Company/>
  <LinksUpToDate>false</LinksUpToDate>
  <CharactersWithSpaces>2004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2015-09-21T02:51:00Z</dcterms:created>
  <dc:creator>Rima</dc:creator>
  <lastModifiedBy>Adlib User</lastModifiedBy>
  <dcterms:modified xsi:type="dcterms:W3CDTF">2015-09-21T02:51:00Z</dcterms:modified>
  <revision>2</revision>
  <dc:title>LIETUVOS RESPUBLIKOS KREDITO UNIJŲ ĮSTATYMO 5, 6, 9, 11, 22 STRAIPSNIŲ PAKEITIMO IR PAPILDYMO ĮSTATYMAS</dc:title>
</coreProperties>
</file>