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VALSTYBINIŲ SOCIALINIO DRAUDIMO PENSIJŲ ĮSTATYMO 5, 15, 19, 24, 28, 33, 40, 42, 53, 56, 59, 65 STRAIPSNIŲ PAKEITIMO IR PAPILDYMO ĮSTATYMO 13, 14 IR 15 STRAIPSNIŲ PAKEITIMO ĮSTATYMAS</w:t>
      </w:r>
    </w:p>
    <w:p>
      <w:pPr>
        <w:widowControl w:val="0"/>
        <w:suppressAutoHyphens/>
        <w:jc w:val="center"/>
        <w:rPr>
          <w:color w:val="000000"/>
        </w:rPr>
      </w:pPr>
    </w:p>
    <w:p>
      <w:pPr>
        <w:keepLines/>
        <w:widowControl w:val="0"/>
        <w:suppressAutoHyphens/>
        <w:jc w:val="center"/>
        <w:rPr>
          <w:color w:val="000000"/>
        </w:rPr>
      </w:pPr>
      <w:r>
        <w:rPr>
          <w:color w:val="000000"/>
        </w:rPr>
        <w:t>2009 m. gruodžio 8 d. Nr. XI-529</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2008, Nr. </w:t>
      </w:r>
      <w:fldSimple w:instr="HYPERLINK https://www.e-tar.lt/portal/lt/legalAct/TAR.50FB23C65707 \t _blank">
        <w:r>
          <w:rPr>
            <w:color w:val="0000FF" w:themeColor="hyperlink"/>
            <w:u w:val="single"/>
          </w:rPr>
          <w:t>127-4833</w:t>
        </w:r>
      </w:fldSimple>
      <w:r>
        <w:rPr>
          <w:color w:val="000000"/>
        </w:rPr>
        <w:t xml:space="preserve">, Nr. </w:t>
      </w:r>
      <w:fldSimple w:instr="HYPERLINK https://www.e-tar.lt/portal/lt/legalAct/TAR.4177750FC16B \t _blank">
        <w:r>
          <w:rPr>
            <w:color w:val="0000FF" w:themeColor="hyperlink"/>
            <w:u w:val="single"/>
          </w:rPr>
          <w:t>149-6026</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 xml:space="preserve">13 straipsnio 2 dalies pakeitimas </w:t>
      </w:r>
    </w:p>
    <w:p>
      <w:pPr>
        <w:widowControl w:val="0"/>
        <w:suppressAutoHyphens/>
        <w:ind w:firstLine="567"/>
        <w:jc w:val="both"/>
        <w:rPr>
          <w:color w:val="000000"/>
        </w:rPr>
      </w:pPr>
      <w:r>
        <w:rPr>
          <w:color w:val="000000"/>
        </w:rPr>
        <w:t>Pakeisti 13 straipsnio 2 dalį ir ją išdėstyti taip:</w:t>
      </w:r>
    </w:p>
    <w:p>
      <w:pPr>
        <w:widowControl w:val="0"/>
        <w:suppressAutoHyphens/>
        <w:ind w:firstLine="567"/>
        <w:jc w:val="both"/>
        <w:rPr>
          <w:color w:val="000000"/>
        </w:rPr>
      </w:pPr>
      <w:r>
        <w:rPr>
          <w:color w:val="000000"/>
        </w:rPr>
        <w:t>„</w:t>
      </w:r>
      <w:r>
        <w:rPr>
          <w:color w:val="000000"/>
        </w:rPr>
        <w:t>2</w:t>
      </w:r>
      <w:r>
        <w:rPr>
          <w:color w:val="000000"/>
        </w:rPr>
        <w:t xml:space="preserve">. Šio įstatymo 2, 3, 4, 10, 11 ir 12 straipsniai ir 15 straipsnio 2 dalis įsigalioja 2012 m. sausio 1 d.“ </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14 straipsnio pakeitimas </w:t>
      </w:r>
    </w:p>
    <w:p>
      <w:pPr>
        <w:widowControl w:val="0"/>
        <w:suppressAutoHyphens/>
        <w:ind w:firstLine="567"/>
        <w:jc w:val="both"/>
        <w:rPr>
          <w:color w:val="000000"/>
        </w:rPr>
      </w:pPr>
      <w:r>
        <w:rPr>
          <w:color w:val="000000"/>
        </w:rPr>
        <w:t>Pakeisti 14 straipsnį ir jį išdėstyti taip:</w:t>
      </w:r>
    </w:p>
    <w:p>
      <w:pPr>
        <w:ind w:firstLine="567"/>
        <w:jc w:val="both"/>
      </w:pPr>
    </w:p>
    <w:p>
      <w:pPr>
        <w:keepLines/>
        <w:widowControl w:val="0"/>
        <w:suppressAutoHyphens/>
        <w:ind w:firstLine="567"/>
        <w:jc w:val="both"/>
        <w:rPr>
          <w:i/>
          <w:iCs/>
          <w:color w:val="000000"/>
        </w:rPr>
      </w:pPr>
      <w:r>
        <w:rPr>
          <w:b/>
          <w:bCs/>
          <w:color w:val="000000"/>
        </w:rPr>
        <w:t>„</w:t>
      </w:r>
      <w:r>
        <w:rPr>
          <w:b/>
          <w:bCs/>
          <w:color w:val="000000"/>
        </w:rPr>
        <w:t>14</w:t>
      </w:r>
      <w:r>
        <w:rPr>
          <w:b/>
          <w:bCs/>
          <w:color w:val="000000"/>
        </w:rPr>
        <w:t xml:space="preserve"> straipsnis. </w:t>
      </w:r>
      <w:r>
        <w:rPr>
          <w:b/>
          <w:bCs/>
          <w:color w:val="000000"/>
        </w:rPr>
        <w:t>Pasiūlymas Vyriausybei</w:t>
      </w:r>
      <w:r>
        <w:rPr>
          <w:i/>
          <w:iCs/>
          <w:color w:val="000000"/>
        </w:rPr>
        <w:t xml:space="preserve"> </w:t>
      </w:r>
    </w:p>
    <w:p>
      <w:pPr>
        <w:widowControl w:val="0"/>
        <w:suppressAutoHyphens/>
        <w:ind w:firstLine="567"/>
        <w:jc w:val="both"/>
        <w:rPr>
          <w:color w:val="000000"/>
        </w:rPr>
      </w:pPr>
      <w:r>
        <w:rPr>
          <w:color w:val="000000"/>
        </w:rPr>
        <w:t>Vyriausybė iki 2012 m. sausio 1 d. parengia ir priima šio įstatymo 13 straipsnio 2 dalyje nurodytiems straipsniams įgyvendinti reikalingus teisės aktus.“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 xml:space="preserve">15 straipsnio 2 dalies pakeitimas </w:t>
      </w:r>
    </w:p>
    <w:p>
      <w:pPr>
        <w:widowControl w:val="0"/>
        <w:suppressAutoHyphens/>
        <w:ind w:firstLine="567"/>
        <w:jc w:val="both"/>
        <w:rPr>
          <w:color w:val="000000"/>
        </w:rPr>
      </w:pPr>
      <w:r>
        <w:rPr>
          <w:color w:val="000000"/>
        </w:rPr>
        <w:t xml:space="preserve">Pakeisti 15 straipsnio 2 dalį ir ją išdėstyti taip: </w:t>
      </w:r>
    </w:p>
    <w:p>
      <w:pPr>
        <w:widowControl w:val="0"/>
        <w:suppressAutoHyphens/>
        <w:ind w:firstLine="567"/>
        <w:jc w:val="both"/>
        <w:rPr>
          <w:color w:val="000000"/>
        </w:rPr>
      </w:pPr>
      <w:r>
        <w:rPr>
          <w:color w:val="000000"/>
        </w:rPr>
        <w:t>„</w:t>
      </w:r>
      <w:r>
        <w:rPr>
          <w:color w:val="000000"/>
        </w:rPr>
        <w:t>2</w:t>
      </w:r>
      <w:r>
        <w:rPr>
          <w:color w:val="000000"/>
        </w:rPr>
        <w:t>. Šio įstatymo 10 straipsnyje išdėstyto Valstybinių socialinio draudimo pensijų įstatymo 56 straipsnio 2, 4, 5, 6 ir 7 dalių nuostatos taikomos skiriant valstybines socialinio draudimo pensijas pirmą kartą arba iš naujo nuo 2012 m. sausio 1 d. ir vėlesnių datų.“</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7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1076</Characters>
  <Application>Microsoft Office Word</Application>
  <DocSecurity>4</DocSecurity>
  <Lines>33</Lines>
  <Paragraphs>20</Paragraphs>
  <ScaleCrop>false</ScaleCrop>
  <Company/>
  <LinksUpToDate>false</LinksUpToDate>
  <CharactersWithSpaces>1248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2015-07-02T02:27:00Z</dcterms:created>
  <dc:creator>Rima</dc:creator>
  <lastModifiedBy>Adlib User</lastModifiedBy>
  <dcterms:modified xsi:type="dcterms:W3CDTF">2015-07-02T02:27:00Z</dcterms:modified>
  <revision>2</revision>
  <dc:title>LIETUVOS RESPUBLIKOS VALSTYBINIŲ SOCIALINIO DRAUDIMO PENSIJŲ ĮSTATYMO 5, 15, 19, 24, 28, 33, 40, 42, 53, 56, 59, 65 STRAIPSNIŲ PAKEITIMO IR PAPILDYMO ĮSTATYMO 13, 14 IR 15 STRAIPSNIŲ PAKEITIMO ĮSTATYMAS</dc:title>
</coreProperties>
</file>