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VALSTYBINIO SOCIALINIO DRAUDIMO ĮSTATYMO 16 STRAIPSNIO PAKEITIMO ĮSTATYMAS</w:t>
      </w:r>
    </w:p>
    <w:p>
      <w:pPr>
        <w:widowControl w:val="0"/>
        <w:suppressAutoHyphens/>
        <w:jc w:val="center"/>
        <w:rPr>
          <w:color w:val="000000"/>
        </w:rPr>
      </w:pPr>
    </w:p>
    <w:p>
      <w:pPr>
        <w:widowControl w:val="0"/>
        <w:suppressAutoHyphens/>
        <w:jc w:val="center"/>
        <w:rPr>
          <w:color w:val="000000"/>
        </w:rPr>
      </w:pPr>
      <w:r>
        <w:rPr>
          <w:color w:val="000000"/>
        </w:rPr>
        <w:t>2009 m. lapkričio 12 d. Nr. XI-474</w:t>
      </w:r>
    </w:p>
    <w:p>
      <w:pPr>
        <w:widowControl w:val="0"/>
        <w:suppressAutoHyphens/>
        <w:jc w:val="center"/>
        <w:rPr>
          <w:color w:val="000000"/>
        </w:rPr>
      </w:pPr>
      <w:r>
        <w:rPr>
          <w:color w:val="000000"/>
        </w:rPr>
        <w:t>Vilnius</w:t>
      </w:r>
    </w:p>
    <w:p>
      <w:pPr>
        <w:widowControl w:val="0"/>
        <w:suppressAutoHyphens/>
        <w:jc w:val="center"/>
        <w:rPr>
          <w:color w:val="000000"/>
        </w:rPr>
      </w:pPr>
    </w:p>
    <w:p>
      <w:pPr>
        <w:widowControl w:val="0"/>
        <w:suppressAutoHyphens/>
        <w:jc w:val="center"/>
        <w:rPr>
          <w:color w:val="000000"/>
        </w:rPr>
      </w:pPr>
      <w:r>
        <w:rPr>
          <w:color w:val="000000"/>
        </w:rPr>
        <w:t xml:space="preserve">(Žin., 1991, Nr. </w:t>
      </w:r>
      <w:fldSimple w:instr="HYPERLINK https://www.e-tar.lt/portal/lt/legalAct/TAR.0F9036415DBD \t _blank">
        <w:r>
          <w:rPr>
            <w:color w:val="0000FF" w:themeColor="hyperlink"/>
            <w:u w:val="single"/>
          </w:rPr>
          <w:t>17-447</w:t>
        </w:r>
      </w:fldSimple>
      <w:r>
        <w:rPr>
          <w:color w:val="000000"/>
        </w:rPr>
        <w:t xml:space="preserve">; 2004, Nr. </w:t>
      </w:r>
      <w:fldSimple w:instr="HYPERLINK https://www.e-tar.lt/portal/lt/legalAct/TAR.AB8D4779ABE1 \t _blank">
        <w:r>
          <w:rPr>
            <w:color w:val="0000FF" w:themeColor="hyperlink"/>
            <w:u w:val="single"/>
          </w:rPr>
          <w:t>171-6295</w:t>
        </w:r>
      </w:fldSimple>
      <w:r>
        <w:rPr>
          <w:color w:val="000000"/>
        </w:rPr>
        <w:t xml:space="preserve">; 2007, Nr. </w:t>
      </w:r>
      <w:fldSimple w:instr="HYPERLINK https://www.e-tar.lt/portal/lt/legalAct/TAR.E4F420A14C07 \t _blank">
        <w:r>
          <w:rPr>
            <w:color w:val="0000FF" w:themeColor="hyperlink"/>
            <w:u w:val="single"/>
          </w:rPr>
          <w:t>138-5651</w:t>
        </w:r>
      </w:fldSimple>
      <w:r>
        <w:rPr>
          <w:color w:val="000000"/>
        </w:rPr>
        <w:t>)</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16 straipsnio 11 dalies pakeitimas</w:t>
      </w:r>
    </w:p>
    <w:p>
      <w:pPr>
        <w:widowControl w:val="0"/>
        <w:suppressAutoHyphens/>
        <w:ind w:firstLine="567"/>
        <w:jc w:val="both"/>
        <w:rPr>
          <w:color w:val="000000"/>
        </w:rPr>
      </w:pPr>
      <w:r>
        <w:rPr>
          <w:color w:val="000000"/>
        </w:rPr>
        <w:t xml:space="preserve">Pakeisti 16 straipsnio 11 dalį ir ją išdėstyti taip: </w:t>
      </w:r>
    </w:p>
    <w:p>
      <w:pPr>
        <w:widowControl w:val="0"/>
        <w:suppressAutoHyphens/>
        <w:ind w:firstLine="567"/>
        <w:jc w:val="both"/>
        <w:rPr>
          <w:color w:val="000000"/>
        </w:rPr>
      </w:pPr>
      <w:r>
        <w:rPr>
          <w:color w:val="000000"/>
        </w:rPr>
        <w:t>„</w:t>
      </w:r>
      <w:r>
        <w:rPr>
          <w:color w:val="000000"/>
        </w:rPr>
        <w:t>11</w:t>
      </w:r>
      <w:r>
        <w:rPr>
          <w:color w:val="000000"/>
        </w:rPr>
        <w:t>. Duomenys apie draudžiamąsias pajamas ir socialinio draudimo įmokas gali būti tikslinami už ne ilgesnį kaip 5 metų laikotarpį nuo draudėjo kreipimosi dienos.</w:t>
      </w:r>
      <w:r>
        <w:rPr>
          <w:b/>
          <w:bCs/>
          <w:color w:val="000000"/>
        </w:rPr>
        <w:t xml:space="preserve"> </w:t>
      </w:r>
      <w:r>
        <w:rPr>
          <w:color w:val="000000"/>
        </w:rPr>
        <w:t>Pagal apdraustojo asmens prašymą duomenys apie draudžiamąsias pajamas ir socialinio draudimo įmokas, draudėjui sumokėjus už apdraustąjį priklausančias socialinio draudimo įmokas, tikslinami, netaikant 5 metų termino. Šis terminas taip pat netaikomas, kai į Fondą pervedamos lėšos už asmens įgytas pensines teises iš Europos Sąjungos institucijų pensijų sistemos pagal Lietuvos Respublikos Europos Sąjungos institucijų darbuotojų ir Europos Parlamento narių pensinių teisių išsaugojimo ir perkėlimo įstatymą.“</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Įstatymo įsigaliojimas</w:t>
      </w:r>
    </w:p>
    <w:p>
      <w:pPr>
        <w:widowControl w:val="0"/>
        <w:suppressAutoHyphens/>
        <w:ind w:firstLine="567"/>
        <w:jc w:val="both"/>
        <w:rPr>
          <w:color w:val="000000"/>
        </w:rPr>
      </w:pPr>
      <w:r>
        <w:rPr>
          <w:color w:val="000000"/>
        </w:rPr>
        <w:t xml:space="preserve">Šis įstatymas įsigalioja 2010 m. sausio 1 d. </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 xml:space="preserve">Skelbiu šį Lietuvos Respublikos Seimo priimtą įstatymą. </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2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1033</Characters>
  <Application>Microsoft Office Word</Application>
  <DocSecurity>4</DocSecurity>
  <Lines>28</Lines>
  <Paragraphs>13</Paragraphs>
  <ScaleCrop>false</ScaleCrop>
  <Company/>
  <LinksUpToDate>false</LinksUpToDate>
  <CharactersWithSpaces>1175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2015-09-25T02:21:00Z</dcterms:created>
  <dc:creator>Rima</dc:creator>
  <lastModifiedBy>Adlib User</lastModifiedBy>
  <dcterms:modified xsi:type="dcterms:W3CDTF">2015-09-25T02:21:00Z</dcterms:modified>
  <revision>2</revision>
  <dc:title>LIETUVOS RESPUBLIKOS VALSTYBINIO SOCIALINIO DRAUDIMO ĮSTATYMO 16 STRAIPSNIO PAKEITIMO ĮSTATYMAS</dc:title>
</coreProperties>
</file>