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5072f513e9547f0aeb9f81d3e3c20e1"/>
        <w:lock w:val="sdtLocked"/>
        <w:richText/>
      </w:sdtPr>
      <w:sdtContent>
        <w:p>
          <w:pPr>
            <w:widowControl w:val="0"/>
            <w:suppressAutoHyphens/>
            <w:jc w:val="right"/>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5" o:title=""/>
              </v:shape>
              <w:control r:id="rId6" w:name="Control 2" w:shapeid="_x0000_s1026"/>
            </w:pict>
          </w:r>
          <w:r>
            <w:rPr>
              <w:color w:val="000000"/>
            </w:rPr>
            <w:t>EUROPOS TARYBA</w:t>
          </w:r>
        </w:p>
        <w:p>
          <w:pPr>
            <w:widowControl w:val="0"/>
            <w:suppressAutoHyphens/>
            <w:jc w:val="right"/>
            <w:rPr>
              <w:color w:val="000000"/>
            </w:rPr>
          </w:pPr>
          <w:r>
            <w:rPr>
              <w:color w:val="000000"/>
            </w:rPr>
            <w:t>Europos sutarčių serija – Nr. 80</w:t>
          </w:r>
        </w:p>
        <w:p>
          <w:pPr>
            <w:widowControl w:val="0"/>
            <w:suppressAutoHyphens/>
            <w:ind w:firstLine="567"/>
            <w:jc w:val="both"/>
            <w:rPr>
              <w:color w:val="000000"/>
            </w:rPr>
          </w:pPr>
        </w:p>
        <w:p>
          <w:pPr>
            <w:widowControl w:val="0"/>
            <w:suppressAutoHyphens/>
            <w:jc w:val="center"/>
            <w:rPr>
              <w:b/>
              <w:bCs/>
              <w:caps/>
              <w:color w:val="000000"/>
            </w:rPr>
          </w:pPr>
          <w:r>
            <w:rPr>
              <w:b/>
              <w:bCs/>
              <w:caps/>
              <w:color w:val="000000"/>
            </w:rPr>
            <w:t>SUSITARIMAS DĖL MIRUSIŲJŲ KŪNŲ PERVEŽIMO</w:t>
          </w:r>
        </w:p>
        <w:p>
          <w:pPr>
            <w:widowControl w:val="0"/>
            <w:suppressAutoHyphens/>
            <w:jc w:val="center"/>
            <w:rPr>
              <w:color w:val="000000"/>
            </w:rPr>
          </w:pPr>
        </w:p>
        <w:p>
          <w:pPr>
            <w:widowControl w:val="0"/>
            <w:suppressAutoHyphens/>
            <w:jc w:val="center"/>
            <w:rPr>
              <w:color w:val="000000"/>
            </w:rPr>
          </w:pPr>
          <w:r>
            <w:rPr>
              <w:color w:val="000000"/>
            </w:rPr>
            <w:t>1973 m. spalio 26 d., Strasbūras</w:t>
          </w:r>
        </w:p>
        <w:p>
          <w:pPr>
            <w:widowControl w:val="0"/>
            <w:suppressAutoHyphens/>
            <w:ind w:firstLine="567"/>
            <w:jc w:val="both"/>
            <w:rPr>
              <w:color w:val="000000"/>
            </w:rPr>
          </w:pPr>
        </w:p>
        <w:sdt>
          <w:sdtPr>
            <w:alias w:val="preambule"/>
            <w:tag w:val="part_24ffec1a9d8048e9a2649d914c36e6a0"/>
            <w:lock w:val="sdtLocked"/>
            <w:richText/>
          </w:sdtPr>
          <w:sdtContent>
            <w:p>
              <w:pPr>
                <w:widowControl w:val="0"/>
                <w:suppressAutoHyphens/>
                <w:ind w:firstLine="567"/>
                <w:jc w:val="both"/>
                <w:rPr>
                  <w:color w:val="000000"/>
                </w:rPr>
              </w:pPr>
              <w:r>
                <w:rPr>
                  <w:color w:val="000000"/>
                </w:rPr>
                <w:t>Šį Susitarimą pasirašiusios Europos Tarybos valstybės narės,</w:t>
              </w:r>
            </w:p>
          </w:sdtContent>
        </w:sdt>
        <w:sdt>
          <w:sdtPr>
            <w:alias w:val="pastraipa"/>
            <w:tag w:val="part_1141858fed3d4b61a584fb48084de8a7"/>
            <w:lock w:val="sdtLocked"/>
            <w:richText/>
          </w:sdtPr>
          <w:sdtContent>
            <w:p>
              <w:pPr>
                <w:widowControl w:val="0"/>
                <w:suppressAutoHyphens/>
                <w:ind w:firstLine="567"/>
                <w:jc w:val="both"/>
                <w:rPr>
                  <w:color w:val="000000"/>
                </w:rPr>
              </w:pPr>
              <w:r>
                <w:rPr>
                  <w:i/>
                  <w:iCs/>
                  <w:color w:val="000000"/>
                </w:rPr>
                <w:t>manydamos</w:t>
              </w:r>
              <w:r>
                <w:rPr>
                  <w:color w:val="000000"/>
                </w:rPr>
                <w:t>, kad vis labiau reikia supaprastinti tarptautinio mirusiųjų kūnų pervežimo formalumus;</w:t>
              </w:r>
            </w:p>
            <w:p>
              <w:pPr>
                <w:widowControl w:val="0"/>
                <w:suppressAutoHyphens/>
                <w:ind w:firstLine="567"/>
                <w:jc w:val="both"/>
                <w:rPr>
                  <w:color w:val="000000"/>
                </w:rPr>
              </w:pPr>
              <w:r>
                <w:rPr>
                  <w:i/>
                  <w:iCs/>
                  <w:color w:val="000000"/>
                </w:rPr>
                <w:t xml:space="preserve">atsižvelgdamos </w:t>
              </w:r>
              <w:r>
                <w:rPr>
                  <w:color w:val="000000"/>
                </w:rPr>
                <w:t>į tai</w:t>
              </w:r>
              <w:r>
                <w:rPr>
                  <w:i/>
                  <w:iCs/>
                  <w:color w:val="000000"/>
                </w:rPr>
                <w:t xml:space="preserve">, </w:t>
              </w:r>
              <w:r>
                <w:rPr>
                  <w:color w:val="000000"/>
                </w:rPr>
                <w:t>kad net ir tada, kai mirtis ištinka dėl užkrečiamosios ligos, mirusiųjų kūnų pervežimas nekelia pavojaus sveikatai, jei imamasi tinkamų priemonių, ypač dėl karsto nepralaidumo,</w:t>
              </w:r>
            </w:p>
            <w:p>
              <w:pPr>
                <w:widowControl w:val="0"/>
                <w:suppressAutoHyphens/>
                <w:ind w:firstLine="567"/>
                <w:jc w:val="both"/>
                <w:rPr>
                  <w:color w:val="000000"/>
                </w:rPr>
              </w:pPr>
              <w:r>
                <w:rPr>
                  <w:color w:val="000000"/>
                  <w:spacing w:val="60"/>
                </w:rPr>
                <w:t>susitar</w:t>
              </w:r>
              <w:r>
                <w:rPr>
                  <w:color w:val="000000"/>
                </w:rPr>
                <w:t>ė:</w:t>
              </w:r>
            </w:p>
            <w:p>
              <w:pPr>
                <w:widowControl w:val="0"/>
                <w:suppressAutoHyphens/>
                <w:ind w:firstLine="567"/>
                <w:jc w:val="both"/>
                <w:rPr>
                  <w:color w:val="000000"/>
                </w:rPr>
              </w:pPr>
            </w:p>
          </w:sdtContent>
        </w:sdt>
        <w:sdt>
          <w:sdtPr>
            <w:alias w:val="1 str."/>
            <w:tag w:val="part_3d87597f9b104599a88ed0ead29e7f57"/>
            <w:lock w:val="sdtLocked"/>
            <w:richText/>
          </w:sdtPr>
          <w:sdtContent>
            <w:p>
              <w:pPr>
                <w:widowControl w:val="0"/>
                <w:suppressAutoHyphens/>
                <w:jc w:val="center"/>
                <w:rPr>
                  <w:b/>
                  <w:bCs/>
                  <w:color w:val="000000"/>
                </w:rPr>
              </w:pPr>
              <w:sdt>
                <w:sdtPr>
                  <w:alias w:val="Numeris"/>
                  <w:tag w:val="nr_3d87597f9b104599a88ed0ead29e7f57"/>
                  <w:lock w:val="sdtLocked"/>
                  <w:richText/>
                </w:sdtPr>
                <w:sdtContent>
                  <w:r>
                    <w:rPr>
                      <w:b/>
                      <w:bCs/>
                      <w:color w:val="000000"/>
                    </w:rPr>
                    <w:t>1</w:t>
                  </w:r>
                </w:sdtContent>
              </w:sdt>
              <w:r>
                <w:rPr>
                  <w:b/>
                  <w:bCs/>
                  <w:color w:val="000000"/>
                </w:rPr>
                <w:t xml:space="preserve"> straipsnis</w:t>
              </w:r>
            </w:p>
            <w:p>
              <w:pPr>
                <w:widowControl w:val="0"/>
                <w:suppressAutoHyphens/>
                <w:jc w:val="center"/>
                <w:rPr>
                  <w:b/>
                  <w:bCs/>
                  <w:color w:val="000000"/>
                </w:rPr>
              </w:pPr>
            </w:p>
            <w:sdt>
              <w:sdtPr>
                <w:alias w:val="1 str. 1 d."/>
                <w:tag w:val="part_851f756d7342490eb7fecebee8465e15"/>
                <w:lock w:val="sdtLocked"/>
                <w:richText/>
              </w:sdtPr>
              <w:sdtContent>
                <w:p>
                  <w:pPr>
                    <w:widowControl w:val="0"/>
                    <w:suppressAutoHyphens/>
                    <w:ind w:firstLine="567"/>
                    <w:jc w:val="both"/>
                    <w:rPr>
                      <w:color w:val="000000"/>
                    </w:rPr>
                  </w:pPr>
                  <w:sdt>
                    <w:sdtPr>
                      <w:alias w:val="Numeris"/>
                      <w:tag w:val="nr_851f756d7342490eb7fecebee8465e15"/>
                      <w:lock w:val="sdtLocked"/>
                      <w:richText/>
                    </w:sdtPr>
                    <w:sdtContent>
                      <w:r>
                        <w:rPr>
                          <w:color w:val="000000"/>
                        </w:rPr>
                        <w:t>1</w:t>
                      </w:r>
                    </w:sdtContent>
                  </w:sdt>
                  <w:r>
                    <w:rPr>
                      <w:color w:val="000000"/>
                    </w:rPr>
                    <w:t>. Susitariančiosios Šalys tarpusavyje taiko šio Susitarimo nuostatas.</w:t>
                  </w:r>
                </w:p>
              </w:sdtContent>
            </w:sdt>
            <w:sdt>
              <w:sdtPr>
                <w:alias w:val="1 str. 2 d."/>
                <w:tag w:val="part_8a63eb72e46544fbb9d214c0f9a67544"/>
                <w:lock w:val="sdtLocked"/>
                <w:richText/>
              </w:sdtPr>
              <w:sdtContent>
                <w:p>
                  <w:pPr>
                    <w:widowControl w:val="0"/>
                    <w:suppressAutoHyphens/>
                    <w:ind w:firstLine="567"/>
                    <w:jc w:val="both"/>
                    <w:rPr>
                      <w:color w:val="000000"/>
                    </w:rPr>
                  </w:pPr>
                  <w:sdt>
                    <w:sdtPr>
                      <w:alias w:val="Numeris"/>
                      <w:tag w:val="nr_8a63eb72e46544fbb9d214c0f9a67544"/>
                      <w:lock w:val="sdtLocked"/>
                      <w:richText/>
                    </w:sdtPr>
                    <w:sdtContent>
                      <w:r>
                        <w:rPr>
                          <w:color w:val="000000"/>
                        </w:rPr>
                        <w:t>2</w:t>
                      </w:r>
                    </w:sdtContent>
                  </w:sdt>
                  <w:r>
                    <w:rPr>
                      <w:color w:val="000000"/>
                    </w:rPr>
                    <w:t>. Pagal šį Susitarimą mirusiųjų kūnų pervežimas yra tarptautinis žmogaus palaikų vežimas iš išsiuntimo valstybės į paskirties valstybę; išsiuntimo valstybė – valstybė, iš kurios išvežama; kai vežami ekshumuoti palaikai – valstybė, kurioje kūnas buvo palaidotas; paskirties valstybė – valstybė, kurioje mirusiojo kūnas jį atvežus turi būti palaidotas arba kremuotas.</w:t>
                  </w:r>
                </w:p>
              </w:sdtContent>
            </w:sdt>
            <w:sdt>
              <w:sdtPr>
                <w:alias w:val="1 str. 3 d."/>
                <w:tag w:val="part_61bbe74168144758aa07cc2e449aa119"/>
                <w:lock w:val="sdtLocked"/>
                <w:richText/>
              </w:sdtPr>
              <w:sdtContent>
                <w:p>
                  <w:pPr>
                    <w:widowControl w:val="0"/>
                    <w:suppressAutoHyphens/>
                    <w:ind w:firstLine="567"/>
                    <w:jc w:val="both"/>
                    <w:rPr>
                      <w:color w:val="000000"/>
                    </w:rPr>
                  </w:pPr>
                  <w:sdt>
                    <w:sdtPr>
                      <w:alias w:val="Numeris"/>
                      <w:tag w:val="nr_61bbe74168144758aa07cc2e449aa119"/>
                      <w:lock w:val="sdtLocked"/>
                      <w:richText/>
                    </w:sdtPr>
                    <w:sdtContent>
                      <w:r>
                        <w:rPr>
                          <w:color w:val="000000"/>
                        </w:rPr>
                        <w:t>3</w:t>
                      </w:r>
                    </w:sdtContent>
                  </w:sdt>
                  <w:r>
                    <w:rPr>
                      <w:color w:val="000000"/>
                    </w:rPr>
                    <w:t>. Šis Susitarimas netaikomas tarptautiniam pelenų pervežimui.</w:t>
                  </w:r>
                </w:p>
                <w:p>
                  <w:pPr>
                    <w:widowControl w:val="0"/>
                    <w:suppressAutoHyphens/>
                    <w:ind w:firstLine="567"/>
                    <w:jc w:val="both"/>
                    <w:rPr>
                      <w:color w:val="000000"/>
                    </w:rPr>
                  </w:pPr>
                </w:p>
              </w:sdtContent>
            </w:sdt>
          </w:sdtContent>
        </w:sdt>
        <w:sdt>
          <w:sdtPr>
            <w:alias w:val="2 str."/>
            <w:tag w:val="part_b68788fc6aa44d3da1bbd344e9a6cbf9"/>
            <w:lock w:val="sdtLocked"/>
            <w:richText/>
          </w:sdtPr>
          <w:sdtContent>
            <w:p>
              <w:pPr>
                <w:widowControl w:val="0"/>
                <w:suppressAutoHyphens/>
                <w:jc w:val="center"/>
                <w:rPr>
                  <w:b/>
                  <w:bCs/>
                  <w:color w:val="000000"/>
                </w:rPr>
              </w:pPr>
              <w:sdt>
                <w:sdtPr>
                  <w:alias w:val="Numeris"/>
                  <w:tag w:val="nr_b68788fc6aa44d3da1bbd344e9a6cbf9"/>
                  <w:lock w:val="sdtLocked"/>
                  <w:richText/>
                </w:sdtPr>
                <w:sdtContent>
                  <w:r>
                    <w:rPr>
                      <w:b/>
                      <w:bCs/>
                      <w:color w:val="000000"/>
                    </w:rPr>
                    <w:t>2</w:t>
                  </w:r>
                </w:sdtContent>
              </w:sdt>
              <w:r>
                <w:rPr>
                  <w:b/>
                  <w:bCs/>
                  <w:color w:val="000000"/>
                </w:rPr>
                <w:t xml:space="preserve"> straipsnis</w:t>
              </w:r>
            </w:p>
            <w:p>
              <w:pPr>
                <w:widowControl w:val="0"/>
                <w:suppressAutoHyphens/>
                <w:jc w:val="center"/>
                <w:rPr>
                  <w:b/>
                  <w:bCs/>
                  <w:color w:val="000000"/>
                </w:rPr>
              </w:pPr>
            </w:p>
            <w:sdt>
              <w:sdtPr>
                <w:alias w:val="2 str. 1 d."/>
                <w:tag w:val="part_45a8b9b29e97492dab62e06584ad75f5"/>
                <w:lock w:val="sdtLocked"/>
                <w:richText/>
              </w:sdtPr>
              <w:sdtContent>
                <w:p>
                  <w:pPr>
                    <w:widowControl w:val="0"/>
                    <w:suppressAutoHyphens/>
                    <w:ind w:firstLine="567"/>
                    <w:jc w:val="both"/>
                    <w:rPr>
                      <w:color w:val="000000"/>
                    </w:rPr>
                  </w:pPr>
                  <w:sdt>
                    <w:sdtPr>
                      <w:alias w:val="Numeris"/>
                      <w:tag w:val="nr_45a8b9b29e97492dab62e06584ad75f5"/>
                      <w:lock w:val="sdtLocked"/>
                      <w:richText/>
                    </w:sdtPr>
                    <w:sdtContent>
                      <w:r>
                        <w:rPr>
                          <w:color w:val="000000"/>
                        </w:rPr>
                        <w:t>1</w:t>
                      </w:r>
                    </w:sdtContent>
                  </w:sdt>
                  <w:r>
                    <w:rPr>
                      <w:color w:val="000000"/>
                    </w:rPr>
                    <w:t>. Šio Susitarimo nuostatos apima aukščiausius reikalavimus, kurie gali būti nustatyti mirusiųjų kūnų išsiuntimui iš Susitariančiosios Šalies, jų tranzitui per Susitariančiąją Šalį arba jų priėmimui Susitariančiosios Šalies teritorijoje.</w:t>
                  </w:r>
                </w:p>
              </w:sdtContent>
            </w:sdt>
            <w:sdt>
              <w:sdtPr>
                <w:alias w:val="2 str. 2 d."/>
                <w:tag w:val="part_0a77b598c4cf4ad79f45b672842adcae"/>
                <w:lock w:val="sdtLocked"/>
                <w:richText/>
              </w:sdtPr>
              <w:sdtContent>
                <w:p>
                  <w:pPr>
                    <w:widowControl w:val="0"/>
                    <w:suppressAutoHyphens/>
                    <w:ind w:firstLine="567"/>
                    <w:jc w:val="both"/>
                    <w:rPr>
                      <w:color w:val="000000"/>
                    </w:rPr>
                  </w:pPr>
                  <w:sdt>
                    <w:sdtPr>
                      <w:alias w:val="Numeris"/>
                      <w:tag w:val="nr_0a77b598c4cf4ad79f45b672842adcae"/>
                      <w:lock w:val="sdtLocked"/>
                      <w:richText/>
                    </w:sdtPr>
                    <w:sdtContent>
                      <w:r>
                        <w:rPr>
                          <w:color w:val="000000"/>
                        </w:rPr>
                        <w:t>2</w:t>
                      </w:r>
                    </w:sdtContent>
                  </w:sdt>
                  <w:r>
                    <w:rPr>
                      <w:color w:val="000000"/>
                    </w:rPr>
                    <w:t>. Susitariančiosios Šalys pasilieka teisę tam tikrais atvejais, ypač kai pervežama iš vieno pasienio regiono į kitą, dvišaliais susitarimais arba bendru sutarimu priimtais sprendimais suteikti daugiau priemonių. Kad minėti susitarimai arba sprendimai galiotų konkrečiu atveju, būtinas kiekvienos dalyvaujančios valstybės sutikimas.</w:t>
                  </w:r>
                </w:p>
                <w:p>
                  <w:pPr>
                    <w:widowControl w:val="0"/>
                    <w:suppressAutoHyphens/>
                    <w:ind w:firstLine="567"/>
                    <w:jc w:val="both"/>
                    <w:rPr>
                      <w:color w:val="000000"/>
                      <w:spacing w:val="-2"/>
                    </w:rPr>
                  </w:pPr>
                  <w:r>
                    <w:rPr>
                      <w:color w:val="000000"/>
                      <w:spacing w:val="-2"/>
                    </w:rPr>
                    <w:t>Kad minėti susitarimai arba sprendimai galiotų konkrečiu atveju, būtinas kiekvienos dalyvaujančios valstybės sutikimas.</w:t>
                  </w:r>
                </w:p>
                <w:p>
                  <w:pPr>
                    <w:widowControl w:val="0"/>
                    <w:suppressAutoHyphens/>
                    <w:ind w:firstLine="567"/>
                    <w:jc w:val="both"/>
                    <w:rPr>
                      <w:color w:val="000000"/>
                    </w:rPr>
                  </w:pPr>
                </w:p>
              </w:sdtContent>
            </w:sdt>
          </w:sdtContent>
        </w:sdt>
        <w:sdt>
          <w:sdtPr>
            <w:alias w:val="3 str."/>
            <w:tag w:val="part_7d9fd1cbe8b64a52ae8397348242156a"/>
            <w:lock w:val="sdtLocked"/>
            <w:richText/>
          </w:sdtPr>
          <w:sdtContent>
            <w:p>
              <w:pPr>
                <w:widowControl w:val="0"/>
                <w:suppressAutoHyphens/>
                <w:jc w:val="center"/>
                <w:rPr>
                  <w:b/>
                  <w:bCs/>
                  <w:color w:val="000000"/>
                </w:rPr>
              </w:pPr>
              <w:sdt>
                <w:sdtPr>
                  <w:alias w:val="Numeris"/>
                  <w:tag w:val="nr_7d9fd1cbe8b64a52ae8397348242156a"/>
                  <w:lock w:val="sdtLocked"/>
                  <w:richText/>
                </w:sdtPr>
                <w:sdtContent>
                  <w:r>
                    <w:rPr>
                      <w:b/>
                      <w:bCs/>
                      <w:color w:val="000000"/>
                    </w:rPr>
                    <w:t>3</w:t>
                  </w:r>
                </w:sdtContent>
              </w:sdt>
              <w:r>
                <w:rPr>
                  <w:b/>
                  <w:bCs/>
                  <w:color w:val="000000"/>
                </w:rPr>
                <w:t xml:space="preserve"> straipsnis</w:t>
              </w:r>
            </w:p>
            <w:p>
              <w:pPr>
                <w:widowControl w:val="0"/>
                <w:suppressAutoHyphens/>
                <w:ind w:firstLine="567"/>
                <w:jc w:val="both"/>
                <w:rPr>
                  <w:color w:val="000000"/>
                </w:rPr>
              </w:pPr>
            </w:p>
            <w:sdt>
              <w:sdtPr>
                <w:alias w:val="3 str. 1 d."/>
                <w:tag w:val="part_44792d38b96f41ae93a9ff0a2074d687"/>
                <w:lock w:val="sdtLocked"/>
                <w:richText/>
              </w:sdtPr>
              <w:sdtContent>
                <w:p>
                  <w:pPr>
                    <w:widowControl w:val="0"/>
                    <w:suppressAutoHyphens/>
                    <w:ind w:firstLine="567"/>
                    <w:jc w:val="both"/>
                    <w:rPr>
                      <w:color w:val="000000"/>
                    </w:rPr>
                  </w:pPr>
                  <w:sdt>
                    <w:sdtPr>
                      <w:alias w:val="Numeris"/>
                      <w:tag w:val="nr_44792d38b96f41ae93a9ff0a2074d687"/>
                      <w:lock w:val="sdtLocked"/>
                      <w:richText/>
                    </w:sdtPr>
                    <w:sdtContent>
                      <w:r>
                        <w:rPr>
                          <w:color w:val="000000"/>
                        </w:rPr>
                        <w:t>1</w:t>
                      </w:r>
                    </w:sdtContent>
                  </w:sdt>
                  <w:r>
                    <w:rPr>
                      <w:color w:val="000000"/>
                    </w:rPr>
                    <w:t xml:space="preserve">. Mirusiojo kūnas turi būti vežamas kartu su išsiuntimo valstybės kompetentingos institucijos išduotu specialiu dokumentu (mirusiojo kūno </w:t>
                  </w:r>
                  <w:r>
                    <w:rPr>
                      <w:i/>
                      <w:iCs/>
                      <w:color w:val="000000"/>
                    </w:rPr>
                    <w:t>laissez-passer</w:t>
                  </w:r>
                  <w:r>
                    <w:rPr>
                      <w:color w:val="000000"/>
                    </w:rPr>
                    <w:t>).</w:t>
                  </w:r>
                </w:p>
              </w:sdtContent>
            </w:sdt>
            <w:sdt>
              <w:sdtPr>
                <w:alias w:val="3 str. 2 d."/>
                <w:tag w:val="part_f6b68065b9a0457a897441a1e9606367"/>
                <w:lock w:val="sdtLocked"/>
                <w:richText/>
              </w:sdtPr>
              <w:sdtContent>
                <w:p>
                  <w:pPr>
                    <w:widowControl w:val="0"/>
                    <w:suppressAutoHyphens/>
                    <w:ind w:firstLine="567"/>
                    <w:jc w:val="both"/>
                    <w:rPr>
                      <w:color w:val="000000"/>
                    </w:rPr>
                  </w:pPr>
                  <w:sdt>
                    <w:sdtPr>
                      <w:alias w:val="Numeris"/>
                      <w:tag w:val="nr_f6b68065b9a0457a897441a1e9606367"/>
                      <w:lock w:val="sdtLocked"/>
                      <w:richText/>
                    </w:sdtPr>
                    <w:sdtContent>
                      <w:r>
                        <w:rPr>
                          <w:color w:val="000000"/>
                        </w:rPr>
                        <w:t>2</w:t>
                      </w:r>
                    </w:sdtContent>
                  </w:sdt>
                  <w:r>
                    <w:rPr>
                      <w:color w:val="000000"/>
                    </w:rPr>
                    <w:t xml:space="preserve">. </w:t>
                  </w:r>
                  <w:r>
                    <w:rPr>
                      <w:i/>
                      <w:iCs/>
                      <w:color w:val="000000"/>
                    </w:rPr>
                    <w:t>Laissez-passer</w:t>
                  </w:r>
                  <w:r>
                    <w:rPr>
                      <w:color w:val="000000"/>
                    </w:rPr>
                    <w:t xml:space="preserve"> yra pateikiama bent jau prie šio Susitarimo pridėtame pavyzdyje nurodyta informacija. Jis surašomas valstybės, kurioje buvo išduotas, valstybine arba viena iš oficialių kalbų ir viena iš Europos Tarybos oficialių kalbų.</w:t>
                  </w:r>
                </w:p>
                <w:p>
                  <w:pPr>
                    <w:widowControl w:val="0"/>
                    <w:suppressAutoHyphens/>
                    <w:ind w:firstLine="567"/>
                    <w:jc w:val="both"/>
                    <w:rPr>
                      <w:color w:val="000000"/>
                    </w:rPr>
                  </w:pPr>
                </w:p>
              </w:sdtContent>
            </w:sdt>
          </w:sdtContent>
        </w:sdt>
        <w:sdt>
          <w:sdtPr>
            <w:alias w:val="4 str."/>
            <w:tag w:val="part_4afcdd55a53f4a5587d890ff8a01ef1d"/>
            <w:lock w:val="sdtLocked"/>
            <w:richText/>
          </w:sdtPr>
          <w:sdtContent>
            <w:p>
              <w:pPr>
                <w:widowControl w:val="0"/>
                <w:suppressAutoHyphens/>
                <w:jc w:val="center"/>
                <w:rPr>
                  <w:b/>
                  <w:bCs/>
                  <w:color w:val="000000"/>
                </w:rPr>
              </w:pPr>
              <w:sdt>
                <w:sdtPr>
                  <w:alias w:val="Numeris"/>
                  <w:tag w:val="nr_4afcdd55a53f4a5587d890ff8a01ef1d"/>
                  <w:lock w:val="sdtLocked"/>
                  <w:richText/>
                </w:sdtPr>
                <w:sdtContent>
                  <w:r>
                    <w:rPr>
                      <w:b/>
                      <w:bCs/>
                      <w:color w:val="000000"/>
                    </w:rPr>
                    <w:t>4</w:t>
                  </w:r>
                </w:sdtContent>
              </w:sdt>
              <w:r>
                <w:rPr>
                  <w:b/>
                  <w:bCs/>
                  <w:color w:val="000000"/>
                </w:rPr>
                <w:t xml:space="preserve"> straipsnis</w:t>
              </w:r>
            </w:p>
            <w:p>
              <w:pPr>
                <w:widowControl w:val="0"/>
                <w:suppressAutoHyphens/>
                <w:jc w:val="center"/>
                <w:rPr>
                  <w:b/>
                  <w:bCs/>
                  <w:color w:val="000000"/>
                </w:rPr>
              </w:pPr>
            </w:p>
            <w:sdt>
              <w:sdtPr>
                <w:alias w:val="4 str. 1 d."/>
                <w:tag w:val="part_be289623bee9411bb10940dede90db31"/>
                <w:lock w:val="sdtLocked"/>
                <w:richText/>
              </w:sdtPr>
              <w:sdtContent>
                <w:p>
                  <w:pPr>
                    <w:widowControl w:val="0"/>
                    <w:suppressAutoHyphens/>
                    <w:ind w:firstLine="567"/>
                    <w:jc w:val="both"/>
                    <w:rPr>
                      <w:color w:val="000000"/>
                    </w:rPr>
                  </w:pPr>
                  <w:r>
                    <w:rPr>
                      <w:color w:val="000000"/>
                    </w:rPr>
                    <w:t xml:space="preserve">Išskyrus dokumentus, reikalaujamus pagal tarptautines konvencijas ir susitarimus dėl transporto apskritai, arba pagal būsimas konvencijas ar susitarimus dėl mirusiųjų kūnų pervežimo, nei paskirties valstybė, nei tranzito valstybė nereikalauja jokių dokumentų, o tik mirusiojo kūno </w:t>
                  </w:r>
                  <w:r>
                    <w:rPr>
                      <w:i/>
                      <w:iCs/>
                      <w:color w:val="000000"/>
                    </w:rPr>
                    <w:t>laissez-passer</w:t>
                  </w:r>
                  <w:r>
                    <w:rPr>
                      <w:color w:val="000000"/>
                    </w:rPr>
                    <w:t>.</w:t>
                  </w:r>
                </w:p>
                <w:p>
                  <w:pPr>
                    <w:widowControl w:val="0"/>
                    <w:suppressAutoHyphens/>
                    <w:ind w:firstLine="567"/>
                    <w:jc w:val="both"/>
                    <w:rPr>
                      <w:color w:val="000000"/>
                    </w:rPr>
                  </w:pPr>
                </w:p>
              </w:sdtContent>
            </w:sdt>
          </w:sdtContent>
        </w:sdt>
        <w:sdt>
          <w:sdtPr>
            <w:alias w:val="5 str."/>
            <w:tag w:val="part_6e52283186d34f25afda06124e7a36b8"/>
            <w:lock w:val="sdtLocked"/>
            <w:richText/>
          </w:sdtPr>
          <w:sdtContent>
            <w:p>
              <w:pPr>
                <w:widowControl w:val="0"/>
                <w:suppressAutoHyphens/>
                <w:jc w:val="center"/>
                <w:rPr>
                  <w:b/>
                  <w:bCs/>
                  <w:color w:val="000000"/>
                </w:rPr>
              </w:pPr>
              <w:sdt>
                <w:sdtPr>
                  <w:alias w:val="Numeris"/>
                  <w:tag w:val="nr_6e52283186d34f25afda06124e7a36b8"/>
                  <w:lock w:val="sdtLocked"/>
                  <w:richText/>
                </w:sdtPr>
                <w:sdtContent>
                  <w:r>
                    <w:rPr>
                      <w:b/>
                      <w:bCs/>
                      <w:color w:val="000000"/>
                    </w:rPr>
                    <w:t>5</w:t>
                  </w:r>
                </w:sdtContent>
              </w:sdt>
              <w:r>
                <w:rPr>
                  <w:b/>
                  <w:bCs/>
                  <w:color w:val="000000"/>
                </w:rPr>
                <w:t xml:space="preserve"> straipsnis</w:t>
              </w:r>
            </w:p>
            <w:p>
              <w:pPr>
                <w:widowControl w:val="0"/>
                <w:suppressAutoHyphens/>
                <w:jc w:val="center"/>
                <w:rPr>
                  <w:b/>
                  <w:bCs/>
                  <w:color w:val="000000"/>
                </w:rPr>
              </w:pPr>
            </w:p>
            <w:sdt>
              <w:sdtPr>
                <w:alias w:val="5 str. 1 d."/>
                <w:tag w:val="part_02df88297c11413a9dbd5f063f2f836f"/>
                <w:lock w:val="sdtLocked"/>
                <w:richText/>
              </w:sdtPr>
              <w:sdtContent>
                <w:p>
                  <w:pPr>
                    <w:widowControl w:val="0"/>
                    <w:suppressAutoHyphens/>
                    <w:ind w:firstLine="567"/>
                    <w:jc w:val="both"/>
                    <w:rPr>
                      <w:color w:val="000000"/>
                    </w:rPr>
                  </w:pPr>
                  <w:r>
                    <w:rPr>
                      <w:i/>
                      <w:iCs/>
                      <w:color w:val="000000"/>
                    </w:rPr>
                    <w:t>Laissez-passer</w:t>
                  </w:r>
                  <w:r>
                    <w:rPr>
                      <w:color w:val="000000"/>
                    </w:rPr>
                    <w:t xml:space="preserve"> išduoda šio Susitarimo 8 straipsnyje nurodyta kompetentinga institucija, įsitikinusi, kad:</w:t>
                  </w:r>
                </w:p>
                <w:sdt>
                  <w:sdtPr>
                    <w:alias w:val="5 str. 1 d. a p."/>
                    <w:tag w:val="part_128abb6b558846ce9683ef46dfedbe4a"/>
                    <w:lock w:val="sdtLocked"/>
                    <w:richText/>
                  </w:sdtPr>
                  <w:sdtContent>
                    <w:p>
                      <w:pPr>
                        <w:widowControl w:val="0"/>
                        <w:suppressAutoHyphens/>
                        <w:ind w:firstLine="567"/>
                        <w:jc w:val="both"/>
                        <w:rPr>
                          <w:color w:val="000000"/>
                        </w:rPr>
                      </w:pPr>
                      <w:r>
                        <w:rPr>
                          <w:color w:val="000000"/>
                        </w:rPr>
                        <w:t>a) laikomasi visų išsiuntimo valstybėje galiojančių medicinos, sveikatos, administracinių ir teisinių reikalavimų, taikomų mirusiųjų kūnų pervežimui, taip pat prireikus laidojimui ir ekshumavimui;</w:t>
                      </w:r>
                    </w:p>
                  </w:sdtContent>
                </w:sdt>
                <w:sdt>
                  <w:sdtPr>
                    <w:alias w:val="5 str. 1 d. b p."/>
                    <w:tag w:val="part_8e5a083f4d854236b48a7e8eb8b7cdba"/>
                    <w:lock w:val="sdtLocked"/>
                    <w:richText/>
                  </w:sdtPr>
                  <w:sdtContent>
                    <w:p>
                      <w:pPr>
                        <w:widowControl w:val="0"/>
                        <w:suppressAutoHyphens/>
                        <w:ind w:firstLine="567"/>
                        <w:jc w:val="both"/>
                        <w:rPr>
                          <w:color w:val="000000"/>
                        </w:rPr>
                      </w:pPr>
                      <w:r>
                        <w:rPr>
                          <w:color w:val="000000"/>
                        </w:rPr>
                        <w:t>b) palaikai yra įdėti į karstą, atitinkantį šio Susitarimo 6 ir 7 straipsniuose nustatytus reikalavimus;</w:t>
                      </w:r>
                    </w:p>
                  </w:sdtContent>
                </w:sdt>
                <w:sdt>
                  <w:sdtPr>
                    <w:alias w:val="5 str. 1 d. c p."/>
                    <w:tag w:val="part_6a874a6c1b464582a96eba2bf12ba300"/>
                    <w:lock w:val="sdtLocked"/>
                    <w:richText/>
                  </w:sdtPr>
                  <w:sdtContent>
                    <w:p>
                      <w:pPr>
                        <w:widowControl w:val="0"/>
                        <w:suppressAutoHyphens/>
                        <w:ind w:firstLine="567"/>
                        <w:jc w:val="both"/>
                        <w:rPr>
                          <w:color w:val="000000"/>
                          <w:spacing w:val="-4"/>
                        </w:rPr>
                      </w:pPr>
                      <w:r>
                        <w:rPr>
                          <w:color w:val="000000"/>
                          <w:spacing w:val="-4"/>
                        </w:rPr>
                        <w:t xml:space="preserve">c) karste yra tik </w:t>
                      </w:r>
                      <w:r>
                        <w:rPr>
                          <w:i/>
                          <w:iCs/>
                          <w:color w:val="000000"/>
                          <w:spacing w:val="-4"/>
                        </w:rPr>
                        <w:t>laissez-passer</w:t>
                      </w:r>
                      <w:r>
                        <w:rPr>
                          <w:color w:val="000000"/>
                          <w:spacing w:val="-4"/>
                        </w:rPr>
                        <w:t xml:space="preserve"> nurodyto asmens palaikai ir su mirusiojo kūnu laidotini arba kremuotini asmeniniai daiktai.</w:t>
                      </w:r>
                    </w:p>
                    <w:p>
                      <w:pPr>
                        <w:widowControl w:val="0"/>
                        <w:suppressAutoHyphens/>
                        <w:ind w:firstLine="567"/>
                        <w:jc w:val="both"/>
                        <w:rPr>
                          <w:color w:val="000000"/>
                        </w:rPr>
                      </w:pPr>
                    </w:p>
                  </w:sdtContent>
                </w:sdt>
              </w:sdtContent>
            </w:sdt>
          </w:sdtContent>
        </w:sdt>
        <w:sdt>
          <w:sdtPr>
            <w:alias w:val="6 str."/>
            <w:tag w:val="part_78d529bbb9324465b880d32b6f4633d3"/>
            <w:lock w:val="sdtLocked"/>
            <w:richText/>
          </w:sdtPr>
          <w:sdtContent>
            <w:p>
              <w:pPr>
                <w:widowControl w:val="0"/>
                <w:suppressAutoHyphens/>
                <w:jc w:val="center"/>
                <w:rPr>
                  <w:b/>
                  <w:bCs/>
                  <w:color w:val="000000"/>
                </w:rPr>
              </w:pPr>
              <w:sdt>
                <w:sdtPr>
                  <w:alias w:val="Numeris"/>
                  <w:tag w:val="nr_78d529bbb9324465b880d32b6f4633d3"/>
                  <w:lock w:val="sdtLocked"/>
                  <w:richText/>
                </w:sdtPr>
                <w:sdtContent>
                  <w:r>
                    <w:rPr>
                      <w:b/>
                      <w:bCs/>
                      <w:color w:val="000000"/>
                    </w:rPr>
                    <w:t>6</w:t>
                  </w:r>
                </w:sdtContent>
              </w:sdt>
              <w:r>
                <w:rPr>
                  <w:b/>
                  <w:bCs/>
                  <w:color w:val="000000"/>
                </w:rPr>
                <w:t xml:space="preserve"> straipsnis</w:t>
              </w:r>
            </w:p>
            <w:p>
              <w:pPr>
                <w:widowControl w:val="0"/>
                <w:suppressAutoHyphens/>
                <w:jc w:val="center"/>
                <w:rPr>
                  <w:b/>
                  <w:bCs/>
                  <w:color w:val="000000"/>
                </w:rPr>
              </w:pPr>
            </w:p>
            <w:sdt>
              <w:sdtPr>
                <w:alias w:val="6 str. 1 d."/>
                <w:tag w:val="part_52434d5a01234ea495e78ec9c83d5265"/>
                <w:lock w:val="sdtLocked"/>
                <w:richText/>
              </w:sdtPr>
              <w:sdtContent>
                <w:p>
                  <w:pPr>
                    <w:widowControl w:val="0"/>
                    <w:suppressAutoHyphens/>
                    <w:ind w:firstLine="567"/>
                    <w:jc w:val="both"/>
                    <w:rPr>
                      <w:color w:val="000000"/>
                    </w:rPr>
                  </w:pPr>
                  <w:sdt>
                    <w:sdtPr>
                      <w:alias w:val="Numeris"/>
                      <w:tag w:val="nr_52434d5a01234ea495e78ec9c83d5265"/>
                      <w:lock w:val="sdtLocked"/>
                      <w:richText/>
                    </w:sdtPr>
                    <w:sdtContent>
                      <w:r>
                        <w:rPr>
                          <w:color w:val="000000"/>
                        </w:rPr>
                        <w:t>1</w:t>
                      </w:r>
                    </w:sdtContent>
                  </w:sdt>
                  <w:r>
                    <w:rPr>
                      <w:color w:val="000000"/>
                    </w:rPr>
                    <w:t>. Karstas turi būti sandarus; jo vidus turi būti padengtas absorbuojančiąja medžiaga. Jei išsiuntimo valstybės kompetentinga institucija mano, kad tai būtina, į karstą turi būti dedamas slėgio karsto viduje ir išorėje lyginimo prietaisas. Tai gali būti:</w:t>
                  </w:r>
                </w:p>
                <w:sdt>
                  <w:sdtPr>
                    <w:alias w:val="6 str. 1 d. i p."/>
                    <w:tag w:val="part_77386f1531ae40c8ab0cc1c12c31bd28"/>
                    <w:lock w:val="sdtLocked"/>
                    <w:richText/>
                  </w:sdtPr>
                  <w:sdtContent>
                    <w:p>
                      <w:pPr>
                        <w:widowControl w:val="0"/>
                        <w:suppressAutoHyphens/>
                        <w:ind w:firstLine="567"/>
                        <w:jc w:val="both"/>
                        <w:rPr>
                          <w:color w:val="000000"/>
                        </w:rPr>
                      </w:pPr>
                      <w:r>
                        <w:rPr>
                          <w:color w:val="000000"/>
                        </w:rPr>
                        <w:t>i) išorinis medinis karstas, kurio sienelių storis yra ne mažiau kaip 20 mm, ir vidinis rūpestingai sulituotas cinkuotas arba pagamintas iš kokios nors kitos savaime suyrančios medžiagos karstas;</w:t>
                      </w:r>
                    </w:p>
                  </w:sdtContent>
                </w:sdt>
                <w:sdt>
                  <w:sdtPr>
                    <w:alias w:val="6 str. 1 d. ii p."/>
                    <w:tag w:val="part_003f3cb77b8b48a0aec33b3227d36e01"/>
                    <w:lock w:val="sdtLocked"/>
                    <w:richText/>
                  </w:sdtPr>
                  <w:sdtContent>
                    <w:p>
                      <w:pPr>
                        <w:widowControl w:val="0"/>
                        <w:suppressAutoHyphens/>
                        <w:ind w:firstLine="567"/>
                        <w:jc w:val="both"/>
                        <w:rPr>
                          <w:color w:val="000000"/>
                        </w:rPr>
                      </w:pPr>
                      <w:r>
                        <w:rPr>
                          <w:color w:val="000000"/>
                        </w:rPr>
                        <w:t>ii) arba vien tik medinis karstas, kurio ne mažiau kaip 30 mm storio sienelės yra cinkuotos arba padengtos kokia nors kita savaime suyrančia medžiaga.</w:t>
                      </w:r>
                    </w:p>
                  </w:sdtContent>
                </w:sdt>
              </w:sdtContent>
            </w:sdt>
            <w:sdt>
              <w:sdtPr>
                <w:alias w:val="6 str. 2 d."/>
                <w:tag w:val="part_d027f01f4eb74d0d94a2863aff77123a"/>
                <w:lock w:val="sdtLocked"/>
                <w:richText/>
              </w:sdtPr>
              <w:sdtContent>
                <w:p>
                  <w:pPr>
                    <w:widowControl w:val="0"/>
                    <w:suppressAutoHyphens/>
                    <w:ind w:firstLine="567"/>
                    <w:jc w:val="both"/>
                    <w:rPr>
                      <w:color w:val="000000"/>
                    </w:rPr>
                  </w:pPr>
                  <w:sdt>
                    <w:sdtPr>
                      <w:alias w:val="Numeris"/>
                      <w:tag w:val="nr_d027f01f4eb74d0d94a2863aff77123a"/>
                      <w:lock w:val="sdtLocked"/>
                      <w:richText/>
                    </w:sdtPr>
                    <w:sdtContent>
                      <w:r>
                        <w:rPr>
                          <w:color w:val="000000"/>
                        </w:rPr>
                        <w:t>2</w:t>
                      </w:r>
                    </w:sdtContent>
                  </w:sdt>
                  <w:r>
                    <w:rPr>
                      <w:color w:val="000000"/>
                    </w:rPr>
                    <w:t>. Jei mirties priežastis – infekcinė liga, kūnas įvyniojamas į antiseptiniu tirpalu įmirkytą audeklą.</w:t>
                  </w:r>
                </w:p>
              </w:sdtContent>
            </w:sdt>
            <w:sdt>
              <w:sdtPr>
                <w:alias w:val="6 str. 3 d."/>
                <w:tag w:val="part_a5ee12cb58e94e7886f52d338358395f"/>
                <w:lock w:val="sdtLocked"/>
                <w:richText/>
              </w:sdtPr>
              <w:sdtContent>
                <w:p>
                  <w:pPr>
                    <w:widowControl w:val="0"/>
                    <w:suppressAutoHyphens/>
                    <w:ind w:firstLine="567"/>
                    <w:jc w:val="both"/>
                    <w:rPr>
                      <w:color w:val="000000"/>
                    </w:rPr>
                  </w:pPr>
                  <w:sdt>
                    <w:sdtPr>
                      <w:alias w:val="Numeris"/>
                      <w:tag w:val="nr_a5ee12cb58e94e7886f52d338358395f"/>
                      <w:lock w:val="sdtLocked"/>
                      <w:richText/>
                    </w:sdtPr>
                    <w:sdtContent>
                      <w:r>
                        <w:rPr>
                          <w:color w:val="000000"/>
                        </w:rPr>
                        <w:t>3</w:t>
                      </w:r>
                    </w:sdtContent>
                  </w:sdt>
                  <w:r>
                    <w:rPr>
                      <w:color w:val="000000"/>
                    </w:rPr>
                    <w:t>. Nepažeidžiant šio straipsnio 1 ir 2 dalių nuostatų, oro transportu vežamame karste turi būti slėgio lyginimo įtaisas, o jei jo nėra, pateikiamos atsparumo garantijos, kurias išsiuntimo valstybės kompetentingos institucijos pripažįsta tinkamomis.</w:t>
                  </w:r>
                </w:p>
                <w:p>
                  <w:pPr>
                    <w:widowControl w:val="0"/>
                    <w:suppressAutoHyphens/>
                    <w:ind w:firstLine="567"/>
                    <w:jc w:val="both"/>
                    <w:rPr>
                      <w:color w:val="000000"/>
                    </w:rPr>
                  </w:pPr>
                </w:p>
              </w:sdtContent>
            </w:sdt>
          </w:sdtContent>
        </w:sdt>
        <w:sdt>
          <w:sdtPr>
            <w:alias w:val="7 str."/>
            <w:tag w:val="part_0d1453dee5cd4082a2161ee3ad98e47f"/>
            <w:lock w:val="sdtLocked"/>
            <w:richText/>
          </w:sdtPr>
          <w:sdtContent>
            <w:p>
              <w:pPr>
                <w:widowControl w:val="0"/>
                <w:suppressAutoHyphens/>
                <w:jc w:val="center"/>
                <w:rPr>
                  <w:b/>
                  <w:bCs/>
                  <w:color w:val="000000"/>
                </w:rPr>
              </w:pPr>
              <w:sdt>
                <w:sdtPr>
                  <w:alias w:val="Numeris"/>
                  <w:tag w:val="nr_0d1453dee5cd4082a2161ee3ad98e47f"/>
                  <w:lock w:val="sdtLocked"/>
                  <w:richText/>
                </w:sdtPr>
                <w:sdtContent>
                  <w:r>
                    <w:rPr>
                      <w:b/>
                      <w:bCs/>
                      <w:color w:val="000000"/>
                    </w:rPr>
                    <w:t>7</w:t>
                  </w:r>
                </w:sdtContent>
              </w:sdt>
              <w:r>
                <w:rPr>
                  <w:b/>
                  <w:bCs/>
                  <w:color w:val="000000"/>
                </w:rPr>
                <w:t xml:space="preserve"> straipsnis</w:t>
              </w:r>
            </w:p>
            <w:p>
              <w:pPr>
                <w:widowControl w:val="0"/>
                <w:suppressAutoHyphens/>
                <w:jc w:val="center"/>
                <w:rPr>
                  <w:b/>
                  <w:bCs/>
                  <w:color w:val="000000"/>
                </w:rPr>
              </w:pPr>
            </w:p>
            <w:sdt>
              <w:sdtPr>
                <w:alias w:val="7 str. 1 d."/>
                <w:tag w:val="part_6c2cdaaa192545e48cd91be848ef99c2"/>
                <w:lock w:val="sdtLocked"/>
                <w:richText/>
              </w:sdtPr>
              <w:sdtContent>
                <w:p>
                  <w:pPr>
                    <w:widowControl w:val="0"/>
                    <w:suppressAutoHyphens/>
                    <w:ind w:firstLine="567"/>
                    <w:jc w:val="both"/>
                    <w:rPr>
                      <w:color w:val="000000"/>
                    </w:rPr>
                  </w:pPr>
                  <w:r>
                    <w:rPr>
                      <w:color w:val="000000"/>
                    </w:rPr>
                    <w:t>Jei karstas vežamas kaip įprastas siuntinys, jis supakuojamas taip, kad nesimatytų, jog tai karstas, ir pažymima, kad su juo reikia elgtis atsargiai.</w:t>
                  </w:r>
                </w:p>
                <w:p>
                  <w:pPr>
                    <w:widowControl w:val="0"/>
                    <w:suppressAutoHyphens/>
                    <w:ind w:firstLine="567"/>
                    <w:jc w:val="both"/>
                    <w:rPr>
                      <w:color w:val="000000"/>
                    </w:rPr>
                  </w:pPr>
                </w:p>
              </w:sdtContent>
            </w:sdt>
          </w:sdtContent>
        </w:sdt>
        <w:sdt>
          <w:sdtPr>
            <w:alias w:val="8 str."/>
            <w:tag w:val="part_2d7791a5bd874ef89c3f3e53916796a0"/>
            <w:lock w:val="sdtLocked"/>
            <w:richText/>
          </w:sdtPr>
          <w:sdtContent>
            <w:p>
              <w:pPr>
                <w:widowControl w:val="0"/>
                <w:suppressAutoHyphens/>
                <w:jc w:val="center"/>
                <w:rPr>
                  <w:b/>
                  <w:bCs/>
                  <w:color w:val="000000"/>
                </w:rPr>
              </w:pPr>
              <w:sdt>
                <w:sdtPr>
                  <w:alias w:val="Numeris"/>
                  <w:tag w:val="nr_2d7791a5bd874ef89c3f3e53916796a0"/>
                  <w:lock w:val="sdtLocked"/>
                  <w:richText/>
                </w:sdtPr>
                <w:sdtContent>
                  <w:r>
                    <w:rPr>
                      <w:b/>
                      <w:bCs/>
                      <w:color w:val="000000"/>
                    </w:rPr>
                    <w:t>8</w:t>
                  </w:r>
                </w:sdtContent>
              </w:sdt>
              <w:r>
                <w:rPr>
                  <w:b/>
                  <w:bCs/>
                  <w:color w:val="000000"/>
                </w:rPr>
                <w:t xml:space="preserve"> straipsnis</w:t>
              </w:r>
            </w:p>
            <w:p>
              <w:pPr>
                <w:widowControl w:val="0"/>
                <w:suppressAutoHyphens/>
                <w:jc w:val="center"/>
                <w:rPr>
                  <w:b/>
                  <w:bCs/>
                  <w:color w:val="000000"/>
                </w:rPr>
              </w:pPr>
            </w:p>
            <w:sdt>
              <w:sdtPr>
                <w:alias w:val="8 str. 1 d."/>
                <w:tag w:val="part_de5fc6d9b3d74dcf8a3303efa9a6eb0e"/>
                <w:lock w:val="sdtLocked"/>
                <w:richText/>
              </w:sdtPr>
              <w:sdtContent>
                <w:p>
                  <w:pPr>
                    <w:widowControl w:val="0"/>
                    <w:suppressAutoHyphens/>
                    <w:ind w:firstLine="567"/>
                    <w:jc w:val="both"/>
                    <w:rPr>
                      <w:color w:val="000000"/>
                    </w:rPr>
                  </w:pPr>
                  <w:r>
                    <w:rPr>
                      <w:color w:val="000000"/>
                    </w:rPr>
                    <w:t>Kiekviena Susitariančioji Šalis Europos Tarybos Generaliniam Sekretoriui praneša apie šio Susitarimo 3 straipsnio 1 dalyje, 6 straipsnio 1 ir 3 dalyse nurodytos kompetentingos institucijos paskyrimą.</w:t>
                  </w:r>
                </w:p>
                <w:p>
                  <w:pPr>
                    <w:widowControl w:val="0"/>
                    <w:suppressAutoHyphens/>
                    <w:ind w:firstLine="567"/>
                    <w:jc w:val="both"/>
                    <w:rPr>
                      <w:color w:val="000000"/>
                    </w:rPr>
                  </w:pPr>
                </w:p>
              </w:sdtContent>
            </w:sdt>
          </w:sdtContent>
        </w:sdt>
        <w:sdt>
          <w:sdtPr>
            <w:alias w:val="9 str."/>
            <w:tag w:val="part_7056cccbfb7244f7a594a48e883b5458"/>
            <w:lock w:val="sdtLocked"/>
            <w:richText/>
          </w:sdtPr>
          <w:sdtContent>
            <w:p>
              <w:pPr>
                <w:widowControl w:val="0"/>
                <w:suppressAutoHyphens/>
                <w:jc w:val="center"/>
                <w:rPr>
                  <w:b/>
                  <w:bCs/>
                  <w:color w:val="000000"/>
                </w:rPr>
              </w:pPr>
              <w:sdt>
                <w:sdtPr>
                  <w:alias w:val="Numeris"/>
                  <w:tag w:val="nr_7056cccbfb7244f7a594a48e883b5458"/>
                  <w:lock w:val="sdtLocked"/>
                  <w:richText/>
                </w:sdtPr>
                <w:sdtContent>
                  <w:r>
                    <w:rPr>
                      <w:b/>
                      <w:bCs/>
                      <w:color w:val="000000"/>
                    </w:rPr>
                    <w:t>9</w:t>
                  </w:r>
                </w:sdtContent>
              </w:sdt>
              <w:r>
                <w:rPr>
                  <w:b/>
                  <w:bCs/>
                  <w:color w:val="000000"/>
                </w:rPr>
                <w:t xml:space="preserve"> straipsnis</w:t>
              </w:r>
            </w:p>
            <w:p>
              <w:pPr>
                <w:widowControl w:val="0"/>
                <w:suppressAutoHyphens/>
                <w:jc w:val="center"/>
                <w:rPr>
                  <w:b/>
                  <w:bCs/>
                  <w:color w:val="000000"/>
                </w:rPr>
              </w:pPr>
            </w:p>
            <w:sdt>
              <w:sdtPr>
                <w:alias w:val="9 str. 1 d."/>
                <w:tag w:val="part_f75a632f44bb441d8af223aeba334ada"/>
                <w:lock w:val="sdtLocked"/>
                <w:richText/>
              </w:sdtPr>
              <w:sdtContent>
                <w:p>
                  <w:pPr>
                    <w:widowControl w:val="0"/>
                    <w:suppressAutoHyphens/>
                    <w:ind w:firstLine="567"/>
                    <w:jc w:val="both"/>
                    <w:rPr>
                      <w:color w:val="000000"/>
                    </w:rPr>
                  </w:pPr>
                  <w:r>
                    <w:rPr>
                      <w:color w:val="000000"/>
                    </w:rPr>
                    <w:t>Jei pervežant dalyvauja trečioji valstybė, 1937 m. vasario 10 d. Berlyno susitarimo dėl mirusiųjų kūnų vežimo Šalis, viena šio Susitarimo Susitariančioji Šalis gali reikalauti, kad kita Susitariančioji Šalis imtųsi būtinų priemonių, kurios leistų pirmajai Susitariančiajai Šaliai įgyvendinti savo įsipareigojimus pagal Berlyno susitarimą.</w:t>
                  </w:r>
                </w:p>
                <w:p>
                  <w:pPr>
                    <w:widowControl w:val="0"/>
                    <w:suppressAutoHyphens/>
                    <w:ind w:firstLine="567"/>
                    <w:jc w:val="both"/>
                    <w:rPr>
                      <w:color w:val="000000"/>
                    </w:rPr>
                  </w:pPr>
                </w:p>
              </w:sdtContent>
            </w:sdt>
          </w:sdtContent>
        </w:sdt>
        <w:sdt>
          <w:sdtPr>
            <w:alias w:val="10 str."/>
            <w:tag w:val="part_9a6760e1863a41a3ad4bcd04456932ee"/>
            <w:lock w:val="sdtLocked"/>
            <w:richText/>
          </w:sdtPr>
          <w:sdtContent>
            <w:p>
              <w:pPr>
                <w:widowControl w:val="0"/>
                <w:suppressAutoHyphens/>
                <w:jc w:val="center"/>
                <w:rPr>
                  <w:b/>
                  <w:bCs/>
                  <w:color w:val="000000"/>
                </w:rPr>
              </w:pPr>
              <w:sdt>
                <w:sdtPr>
                  <w:alias w:val="Numeris"/>
                  <w:tag w:val="nr_9a6760e1863a41a3ad4bcd04456932ee"/>
                  <w:lock w:val="sdtLocked"/>
                  <w:richText/>
                </w:sdtPr>
                <w:sdtContent>
                  <w:r>
                    <w:rPr>
                      <w:b/>
                      <w:bCs/>
                      <w:color w:val="000000"/>
                    </w:rPr>
                    <w:t>10</w:t>
                  </w:r>
                </w:sdtContent>
              </w:sdt>
              <w:r>
                <w:rPr>
                  <w:b/>
                  <w:bCs/>
                  <w:color w:val="000000"/>
                </w:rPr>
                <w:t xml:space="preserve"> straipsnis</w:t>
              </w:r>
            </w:p>
            <w:p>
              <w:pPr>
                <w:widowControl w:val="0"/>
                <w:suppressAutoHyphens/>
                <w:jc w:val="center"/>
                <w:rPr>
                  <w:b/>
                  <w:bCs/>
                  <w:color w:val="000000"/>
                </w:rPr>
              </w:pPr>
            </w:p>
            <w:sdt>
              <w:sdtPr>
                <w:alias w:val="10 str. 1 d."/>
                <w:tag w:val="part_602986d750c348be993d02031504201f"/>
                <w:lock w:val="sdtLocked"/>
                <w:richText/>
              </w:sdtPr>
              <w:sdtContent>
                <w:p>
                  <w:pPr>
                    <w:widowControl w:val="0"/>
                    <w:suppressAutoHyphens/>
                    <w:ind w:firstLine="567"/>
                    <w:jc w:val="both"/>
                    <w:rPr>
                      <w:color w:val="000000"/>
                    </w:rPr>
                  </w:pPr>
                  <w:sdt>
                    <w:sdtPr>
                      <w:alias w:val="Numeris"/>
                      <w:tag w:val="nr_602986d750c348be993d02031504201f"/>
                      <w:lock w:val="sdtLocked"/>
                      <w:richText/>
                    </w:sdtPr>
                    <w:sdtContent>
                      <w:r>
                        <w:rPr>
                          <w:color w:val="000000"/>
                        </w:rPr>
                        <w:t>1</w:t>
                      </w:r>
                    </w:sdtContent>
                  </w:sdt>
                  <w:r>
                    <w:rPr>
                      <w:color w:val="000000"/>
                    </w:rPr>
                    <w:t>. Šis Susitarimas teikiamas pasirašyti Europos Tarybos valstybėms narėms, kurios jo Šalimis gali tapti, jei:</w:t>
                  </w:r>
                </w:p>
                <w:sdt>
                  <w:sdtPr>
                    <w:alias w:val="10 str. 1 d. a p."/>
                    <w:tag w:val="part_18943502ec7540a8bea6476c9f1b3bc5"/>
                    <w:lock w:val="sdtLocked"/>
                    <w:richText/>
                  </w:sdtPr>
                  <w:sdtContent>
                    <w:p>
                      <w:pPr>
                        <w:widowControl w:val="0"/>
                        <w:suppressAutoHyphens/>
                        <w:ind w:firstLine="567"/>
                        <w:jc w:val="both"/>
                        <w:rPr>
                          <w:color w:val="000000"/>
                        </w:rPr>
                      </w:pPr>
                      <w:r>
                        <w:rPr>
                          <w:color w:val="000000"/>
                        </w:rPr>
                        <w:t>a) pasirašo jį be išlygos dėl ratifikavimo ar priėmimo arba</w:t>
                      </w:r>
                    </w:p>
                  </w:sdtContent>
                </w:sdt>
                <w:sdt>
                  <w:sdtPr>
                    <w:alias w:val="10 str. 1 d. b p."/>
                    <w:tag w:val="part_92ca384fe33c42c0b83834b2f6d54f5e"/>
                    <w:lock w:val="sdtLocked"/>
                    <w:richText/>
                  </w:sdtPr>
                  <w:sdtContent>
                    <w:p>
                      <w:pPr>
                        <w:widowControl w:val="0"/>
                        <w:suppressAutoHyphens/>
                        <w:ind w:firstLine="567"/>
                        <w:jc w:val="both"/>
                        <w:rPr>
                          <w:color w:val="000000"/>
                        </w:rPr>
                      </w:pPr>
                      <w:r>
                        <w:rPr>
                          <w:color w:val="000000"/>
                        </w:rPr>
                        <w:t>b) pasirašo jį su išlyga dėl ratifikavimo ar priėmimo, o po to jį ratifikuoja arba priima.</w:t>
                      </w:r>
                    </w:p>
                  </w:sdtContent>
                </w:sdt>
              </w:sdtContent>
            </w:sdt>
            <w:sdt>
              <w:sdtPr>
                <w:alias w:val="10 str. 2 d."/>
                <w:tag w:val="part_5bab02f0ca804516829c0a766c3685a8"/>
                <w:lock w:val="sdtLocked"/>
                <w:richText/>
              </w:sdtPr>
              <w:sdtContent>
                <w:p>
                  <w:pPr>
                    <w:widowControl w:val="0"/>
                    <w:suppressAutoHyphens/>
                    <w:ind w:firstLine="567"/>
                    <w:jc w:val="both"/>
                    <w:rPr>
                      <w:color w:val="000000"/>
                    </w:rPr>
                  </w:pPr>
                  <w:sdt>
                    <w:sdtPr>
                      <w:alias w:val="Numeris"/>
                      <w:tag w:val="nr_5bab02f0ca804516829c0a766c3685a8"/>
                      <w:lock w:val="sdtLocked"/>
                      <w:richText/>
                    </w:sdtPr>
                    <w:sdtContent>
                      <w:r>
                        <w:rPr>
                          <w:color w:val="000000"/>
                        </w:rPr>
                        <w:t>2</w:t>
                      </w:r>
                    </w:sdtContent>
                  </w:sdt>
                  <w:r>
                    <w:rPr>
                      <w:color w:val="000000"/>
                    </w:rPr>
                    <w:t>. Ratifikavimo ar priėmimo dokumentai deponuojami Europos Tarybos Generaliniam Sekretoriui.</w:t>
                  </w:r>
                </w:p>
                <w:p>
                  <w:pPr>
                    <w:widowControl w:val="0"/>
                    <w:suppressAutoHyphens/>
                    <w:ind w:firstLine="567"/>
                    <w:jc w:val="both"/>
                    <w:rPr>
                      <w:color w:val="000000"/>
                    </w:rPr>
                  </w:pPr>
                </w:p>
              </w:sdtContent>
            </w:sdt>
          </w:sdtContent>
        </w:sdt>
        <w:sdt>
          <w:sdtPr>
            <w:alias w:val="11 str."/>
            <w:tag w:val="part_89d611d7b5e84287945c8859df939f6b"/>
            <w:lock w:val="sdtLocked"/>
            <w:richText/>
          </w:sdtPr>
          <w:sdtContent>
            <w:p>
              <w:pPr>
                <w:widowControl w:val="0"/>
                <w:suppressAutoHyphens/>
                <w:jc w:val="center"/>
                <w:rPr>
                  <w:b/>
                  <w:bCs/>
                  <w:color w:val="000000"/>
                </w:rPr>
              </w:pPr>
              <w:sdt>
                <w:sdtPr>
                  <w:alias w:val="Numeris"/>
                  <w:tag w:val="nr_89d611d7b5e84287945c8859df939f6b"/>
                  <w:lock w:val="sdtLocked"/>
                  <w:richText/>
                </w:sdtPr>
                <w:sdtContent>
                  <w:r>
                    <w:rPr>
                      <w:b/>
                      <w:bCs/>
                      <w:color w:val="000000"/>
                    </w:rPr>
                    <w:t>11</w:t>
                  </w:r>
                </w:sdtContent>
              </w:sdt>
              <w:r>
                <w:rPr>
                  <w:b/>
                  <w:bCs/>
                  <w:color w:val="000000"/>
                </w:rPr>
                <w:t xml:space="preserve"> straipsnis</w:t>
              </w:r>
            </w:p>
            <w:p>
              <w:pPr>
                <w:widowControl w:val="0"/>
                <w:suppressAutoHyphens/>
                <w:jc w:val="center"/>
                <w:rPr>
                  <w:b/>
                  <w:bCs/>
                  <w:color w:val="000000"/>
                </w:rPr>
              </w:pPr>
            </w:p>
            <w:sdt>
              <w:sdtPr>
                <w:alias w:val="11 str. 1 d."/>
                <w:tag w:val="part_8939b3c4046945afb196710be35141ca"/>
                <w:lock w:val="sdtLocked"/>
                <w:richText/>
              </w:sdtPr>
              <w:sdtContent>
                <w:p>
                  <w:pPr>
                    <w:widowControl w:val="0"/>
                    <w:suppressAutoHyphens/>
                    <w:ind w:firstLine="567"/>
                    <w:jc w:val="both"/>
                    <w:rPr>
                      <w:color w:val="000000"/>
                    </w:rPr>
                  </w:pPr>
                  <w:sdt>
                    <w:sdtPr>
                      <w:alias w:val="Numeris"/>
                      <w:tag w:val="nr_8939b3c4046945afb196710be35141ca"/>
                      <w:lock w:val="sdtLocked"/>
                      <w:richText/>
                    </w:sdtPr>
                    <w:sdtContent>
                      <w:r>
                        <w:rPr>
                          <w:color w:val="000000"/>
                        </w:rPr>
                        <w:t>1</w:t>
                      </w:r>
                    </w:sdtContent>
                  </w:sdt>
                  <w:r>
                    <w:rPr>
                      <w:color w:val="000000"/>
                    </w:rPr>
                    <w:t>. Šis Susitarimas įsigalioja praėjus mėnesiui nuo tos dienos, kai trys Tarybos valstybės narės pagal 10 straipsnio nuostatas tampa šio Susitarimo Šalimis.</w:t>
                  </w:r>
                </w:p>
              </w:sdtContent>
            </w:sdt>
            <w:sdt>
              <w:sdtPr>
                <w:alias w:val="11 str. 2 d."/>
                <w:tag w:val="part_53a2972ac2684c969442aa6e331415fd"/>
                <w:lock w:val="sdtLocked"/>
                <w:richText/>
              </w:sdtPr>
              <w:sdtContent>
                <w:p>
                  <w:pPr>
                    <w:widowControl w:val="0"/>
                    <w:suppressAutoHyphens/>
                    <w:ind w:firstLine="567"/>
                    <w:jc w:val="both"/>
                    <w:rPr>
                      <w:color w:val="000000"/>
                    </w:rPr>
                  </w:pPr>
                  <w:sdt>
                    <w:sdtPr>
                      <w:alias w:val="Numeris"/>
                      <w:tag w:val="nr_53a2972ac2684c969442aa6e331415fd"/>
                      <w:lock w:val="sdtLocked"/>
                      <w:richText/>
                    </w:sdtPr>
                    <w:sdtContent>
                      <w:r>
                        <w:rPr>
                          <w:color w:val="000000"/>
                        </w:rPr>
                        <w:t>2</w:t>
                      </w:r>
                    </w:sdtContent>
                  </w:sdt>
                  <w:r>
                    <w:rPr>
                      <w:color w:val="000000"/>
                    </w:rPr>
                    <w:t>. Kiekvienai valstybei narei, kuri vėliau pasirašo šį Susitarimą be išlygos dėl ratifikavimo ar priėmimo arba kuri jį ratifikuoja ar priima, šis Susitarimas įsigalioja praėjus mėnesiui nuo jo pasirašymo dienos arba nuo tos dienos, kai ji deponuoja savo ratifikavimo ar priėmimo dokumentą.</w:t>
                  </w:r>
                </w:p>
                <w:p>
                  <w:pPr>
                    <w:widowControl w:val="0"/>
                    <w:suppressAutoHyphens/>
                    <w:ind w:firstLine="567"/>
                    <w:jc w:val="both"/>
                    <w:rPr>
                      <w:color w:val="000000"/>
                    </w:rPr>
                  </w:pPr>
                </w:p>
              </w:sdtContent>
            </w:sdt>
          </w:sdtContent>
        </w:sdt>
        <w:sdt>
          <w:sdtPr>
            <w:alias w:val="12 str."/>
            <w:tag w:val="part_60bb6d5d3cec4b71a775c5abe48c489a"/>
            <w:lock w:val="sdtLocked"/>
            <w:richText/>
          </w:sdtPr>
          <w:sdtContent>
            <w:p>
              <w:pPr>
                <w:widowControl w:val="0"/>
                <w:suppressAutoHyphens/>
                <w:jc w:val="center"/>
                <w:rPr>
                  <w:b/>
                  <w:bCs/>
                  <w:color w:val="000000"/>
                </w:rPr>
              </w:pPr>
              <w:sdt>
                <w:sdtPr>
                  <w:alias w:val="Numeris"/>
                  <w:tag w:val="nr_60bb6d5d3cec4b71a775c5abe48c489a"/>
                  <w:lock w:val="sdtLocked"/>
                  <w:richText/>
                </w:sdtPr>
                <w:sdtContent>
                  <w:r>
                    <w:rPr>
                      <w:b/>
                      <w:bCs/>
                      <w:color w:val="000000"/>
                    </w:rPr>
                    <w:t>12</w:t>
                  </w:r>
                </w:sdtContent>
              </w:sdt>
              <w:r>
                <w:rPr>
                  <w:b/>
                  <w:bCs/>
                  <w:color w:val="000000"/>
                </w:rPr>
                <w:t xml:space="preserve"> straipsnis</w:t>
              </w:r>
            </w:p>
            <w:p>
              <w:pPr>
                <w:widowControl w:val="0"/>
                <w:suppressAutoHyphens/>
                <w:jc w:val="center"/>
                <w:rPr>
                  <w:b/>
                  <w:bCs/>
                  <w:color w:val="000000"/>
                </w:rPr>
              </w:pPr>
            </w:p>
            <w:sdt>
              <w:sdtPr>
                <w:alias w:val="12 str. 1 d."/>
                <w:tag w:val="part_d94641ba4ff94b8897470a2bdd8f2cc6"/>
                <w:lock w:val="sdtLocked"/>
                <w:richText/>
              </w:sdtPr>
              <w:sdtContent>
                <w:p>
                  <w:pPr>
                    <w:widowControl w:val="0"/>
                    <w:suppressAutoHyphens/>
                    <w:ind w:firstLine="567"/>
                    <w:jc w:val="both"/>
                    <w:rPr>
                      <w:color w:val="000000"/>
                    </w:rPr>
                  </w:pPr>
                  <w:sdt>
                    <w:sdtPr>
                      <w:alias w:val="Numeris"/>
                      <w:tag w:val="nr_d94641ba4ff94b8897470a2bdd8f2cc6"/>
                      <w:lock w:val="sdtLocked"/>
                      <w:richText/>
                    </w:sdtPr>
                    <w:sdtContent>
                      <w:r>
                        <w:rPr>
                          <w:color w:val="000000"/>
                        </w:rPr>
                        <w:t>1</w:t>
                      </w:r>
                    </w:sdtContent>
                  </w:sdt>
                  <w:r>
                    <w:rPr>
                      <w:color w:val="000000"/>
                    </w:rPr>
                    <w:t>. Įsigaliojus šiam Susitarimui, Europos Tarybos Ministrų Komitetas gali pakviesti bet kurią valstybę, kuri nėra narė, prie jo prisijungti.</w:t>
                  </w:r>
                </w:p>
              </w:sdtContent>
            </w:sdt>
            <w:sdt>
              <w:sdtPr>
                <w:alias w:val="12 str. 2 d."/>
                <w:tag w:val="part_64443ed64c72415cb07ef74ede1a0a0f"/>
                <w:lock w:val="sdtLocked"/>
                <w:richText/>
              </w:sdtPr>
              <w:sdtContent>
                <w:p>
                  <w:pPr>
                    <w:widowControl w:val="0"/>
                    <w:suppressAutoHyphens/>
                    <w:ind w:firstLine="567"/>
                    <w:jc w:val="both"/>
                    <w:rPr>
                      <w:color w:val="000000"/>
                    </w:rPr>
                  </w:pPr>
                  <w:sdt>
                    <w:sdtPr>
                      <w:alias w:val="Numeris"/>
                      <w:tag w:val="nr_64443ed64c72415cb07ef74ede1a0a0f"/>
                      <w:lock w:val="sdtLocked"/>
                      <w:richText/>
                    </w:sdtPr>
                    <w:sdtContent>
                      <w:r>
                        <w:rPr>
                          <w:color w:val="000000"/>
                        </w:rPr>
                        <w:t>2</w:t>
                      </w:r>
                    </w:sdtContent>
                  </w:sdt>
                  <w:r>
                    <w:rPr>
                      <w:color w:val="000000"/>
                    </w:rPr>
                    <w:t>. Prisijungiama tada, kai Europos Tarybos Generaliniam Sekretoriui deponuojamas prisijungimo dokumentas; prisijungimas įsigalioja praėjus mėnesiui nuo prisijungimo dokumento deponavimo.</w:t>
                  </w:r>
                </w:p>
                <w:p>
                  <w:pPr>
                    <w:widowControl w:val="0"/>
                    <w:suppressAutoHyphens/>
                    <w:ind w:firstLine="567"/>
                    <w:jc w:val="both"/>
                    <w:rPr>
                      <w:color w:val="000000"/>
                    </w:rPr>
                  </w:pPr>
                </w:p>
              </w:sdtContent>
            </w:sdt>
          </w:sdtContent>
        </w:sdt>
        <w:sdt>
          <w:sdtPr>
            <w:alias w:val="13 str."/>
            <w:tag w:val="part_99d162202dc042868e19eaa99becb7c2"/>
            <w:lock w:val="sdtLocked"/>
            <w:richText/>
          </w:sdtPr>
          <w:sdtContent>
            <w:p>
              <w:pPr>
                <w:widowControl w:val="0"/>
                <w:suppressAutoHyphens/>
                <w:jc w:val="center"/>
                <w:rPr>
                  <w:b/>
                  <w:bCs/>
                  <w:color w:val="000000"/>
                </w:rPr>
              </w:pPr>
              <w:sdt>
                <w:sdtPr>
                  <w:alias w:val="Numeris"/>
                  <w:tag w:val="nr_99d162202dc042868e19eaa99becb7c2"/>
                  <w:lock w:val="sdtLocked"/>
                  <w:richText/>
                </w:sdtPr>
                <w:sdtContent>
                  <w:r>
                    <w:rPr>
                      <w:b/>
                      <w:bCs/>
                      <w:color w:val="000000"/>
                    </w:rPr>
                    <w:t>13</w:t>
                  </w:r>
                </w:sdtContent>
              </w:sdt>
              <w:r>
                <w:rPr>
                  <w:b/>
                  <w:bCs/>
                  <w:color w:val="000000"/>
                </w:rPr>
                <w:t xml:space="preserve"> straipsnis</w:t>
              </w:r>
            </w:p>
            <w:p>
              <w:pPr>
                <w:widowControl w:val="0"/>
                <w:suppressAutoHyphens/>
                <w:jc w:val="center"/>
                <w:rPr>
                  <w:b/>
                  <w:bCs/>
                  <w:color w:val="000000"/>
                </w:rPr>
              </w:pPr>
            </w:p>
            <w:sdt>
              <w:sdtPr>
                <w:alias w:val="13 str. 1 d."/>
                <w:tag w:val="part_469734e8b9154f368f751b402e1bc3f1"/>
                <w:lock w:val="sdtLocked"/>
                <w:richText/>
              </w:sdtPr>
              <w:sdtContent>
                <w:p>
                  <w:pPr>
                    <w:widowControl w:val="0"/>
                    <w:suppressAutoHyphens/>
                    <w:ind w:firstLine="567"/>
                    <w:jc w:val="both"/>
                    <w:rPr>
                      <w:color w:val="000000"/>
                    </w:rPr>
                  </w:pPr>
                  <w:sdt>
                    <w:sdtPr>
                      <w:alias w:val="Numeris"/>
                      <w:tag w:val="nr_469734e8b9154f368f751b402e1bc3f1"/>
                      <w:lock w:val="sdtLocked"/>
                      <w:richText/>
                    </w:sdtPr>
                    <w:sdtContent>
                      <w:r>
                        <w:rPr>
                          <w:color w:val="000000"/>
                        </w:rPr>
                        <w:t>1</w:t>
                      </w:r>
                    </w:sdtContent>
                  </w:sdt>
                  <w:r>
                    <w:rPr>
                      <w:color w:val="000000"/>
                    </w:rPr>
                    <w:t>. Kiekviena Susitariančioji Šalis, pasirašydama šį Susitarimą arba deponuodama savo ratifikavimo, priėmimo arba prisijungimo dokumentą, gali nurodyti teritoriją ar teritorijas, kurioms taikomas šis Susitarimas.</w:t>
                  </w:r>
                </w:p>
              </w:sdtContent>
            </w:sdt>
            <w:sdt>
              <w:sdtPr>
                <w:alias w:val="13 str. 2 d."/>
                <w:tag w:val="part_55f5d361c3af4054b895ec422a3a4f25"/>
                <w:lock w:val="sdtLocked"/>
                <w:richText/>
              </w:sdtPr>
              <w:sdtContent>
                <w:p>
                  <w:pPr>
                    <w:widowControl w:val="0"/>
                    <w:suppressAutoHyphens/>
                    <w:ind w:firstLine="567"/>
                    <w:jc w:val="both"/>
                    <w:rPr>
                      <w:color w:val="000000"/>
                    </w:rPr>
                  </w:pPr>
                  <w:sdt>
                    <w:sdtPr>
                      <w:alias w:val="Numeris"/>
                      <w:tag w:val="nr_55f5d361c3af4054b895ec422a3a4f25"/>
                      <w:lock w:val="sdtLocked"/>
                      <w:richText/>
                    </w:sdtPr>
                    <w:sdtContent>
                      <w:r>
                        <w:rPr>
                          <w:color w:val="000000"/>
                        </w:rPr>
                        <w:t>2</w:t>
                      </w:r>
                    </w:sdtContent>
                  </w:sdt>
                  <w:r>
                    <w:rPr>
                      <w:color w:val="000000"/>
                    </w:rPr>
                    <w:t>. Kiekviena Susitariančioji Šalis deponuodama savo ratifikavimo, priėmimo arba prisijungimo dokumentą ar bet kada vėliau gali Europos Tarybos Generaliniam Sekretoriui adresuotu pareiškimu išplėsti šio Susitarimo taikymą bet kuriai kitai pareiškime nurodytai teritorijai ar teritorijoms, už kurių tarptautinius santykius ji yra atsakinga arba kurių vardu jai pavedama prisiimti įsipareigojimus.</w:t>
                  </w:r>
                </w:p>
              </w:sdtContent>
            </w:sdt>
            <w:sdt>
              <w:sdtPr>
                <w:alias w:val="13 str. 3 d."/>
                <w:tag w:val="part_e2a22f51a2a648918c3452a3ac29cf90"/>
                <w:lock w:val="sdtLocked"/>
                <w:richText/>
              </w:sdtPr>
              <w:sdtContent>
                <w:p>
                  <w:pPr>
                    <w:widowControl w:val="0"/>
                    <w:suppressAutoHyphens/>
                    <w:ind w:firstLine="567"/>
                    <w:jc w:val="both"/>
                    <w:rPr>
                      <w:color w:val="000000"/>
                    </w:rPr>
                  </w:pPr>
                  <w:sdt>
                    <w:sdtPr>
                      <w:alias w:val="Numeris"/>
                      <w:tag w:val="nr_e2a22f51a2a648918c3452a3ac29cf90"/>
                      <w:lock w:val="sdtLocked"/>
                      <w:richText/>
                    </w:sdtPr>
                    <w:sdtContent>
                      <w:r>
                        <w:rPr>
                          <w:color w:val="000000"/>
                        </w:rPr>
                        <w:t>3</w:t>
                      </w:r>
                    </w:sdtContent>
                  </w:sdt>
                  <w:r>
                    <w:rPr>
                      <w:color w:val="000000"/>
                    </w:rPr>
                    <w:t>. Kiekvienas pagal šio straipsnio pirmesnę dalį pateiktas pareiškimas gali būti dėl bet kurios jame nurodytos teritorijos atšauktas šio Susitarimo 14 straipsnyje nustatyta tvarka.</w:t>
                  </w:r>
                </w:p>
                <w:p>
                  <w:pPr>
                    <w:widowControl w:val="0"/>
                    <w:suppressAutoHyphens/>
                    <w:ind w:firstLine="567"/>
                    <w:jc w:val="both"/>
                    <w:rPr>
                      <w:color w:val="000000"/>
                    </w:rPr>
                  </w:pPr>
                </w:p>
              </w:sdtContent>
            </w:sdt>
          </w:sdtContent>
        </w:sdt>
        <w:sdt>
          <w:sdtPr>
            <w:alias w:val="14 str."/>
            <w:tag w:val="part_937cbfb53be747d78c7b3a21bc099c50"/>
            <w:lock w:val="sdtLocked"/>
            <w:richText/>
          </w:sdtPr>
          <w:sdtContent>
            <w:p>
              <w:pPr>
                <w:widowControl w:val="0"/>
                <w:suppressAutoHyphens/>
                <w:jc w:val="center"/>
                <w:rPr>
                  <w:b/>
                  <w:bCs/>
                  <w:color w:val="000000"/>
                </w:rPr>
              </w:pPr>
              <w:sdt>
                <w:sdtPr>
                  <w:alias w:val="Numeris"/>
                  <w:tag w:val="nr_937cbfb53be747d78c7b3a21bc099c50"/>
                  <w:lock w:val="sdtLocked"/>
                  <w:richText/>
                </w:sdtPr>
                <w:sdtContent>
                  <w:r>
                    <w:rPr>
                      <w:b/>
                      <w:bCs/>
                      <w:color w:val="000000"/>
                    </w:rPr>
                    <w:t>14</w:t>
                  </w:r>
                </w:sdtContent>
              </w:sdt>
              <w:r>
                <w:rPr>
                  <w:b/>
                  <w:bCs/>
                  <w:color w:val="000000"/>
                </w:rPr>
                <w:t xml:space="preserve"> straipsnis</w:t>
              </w:r>
            </w:p>
            <w:p>
              <w:pPr>
                <w:widowControl w:val="0"/>
                <w:suppressAutoHyphens/>
                <w:jc w:val="center"/>
                <w:rPr>
                  <w:b/>
                  <w:bCs/>
                  <w:color w:val="000000"/>
                </w:rPr>
              </w:pPr>
            </w:p>
            <w:sdt>
              <w:sdtPr>
                <w:alias w:val="14 str. 1 d."/>
                <w:tag w:val="part_8550138f449842b08c84b7678c2e0c07"/>
                <w:lock w:val="sdtLocked"/>
                <w:richText/>
              </w:sdtPr>
              <w:sdtContent>
                <w:p>
                  <w:pPr>
                    <w:widowControl w:val="0"/>
                    <w:suppressAutoHyphens/>
                    <w:ind w:firstLine="567"/>
                    <w:jc w:val="both"/>
                    <w:rPr>
                      <w:color w:val="000000"/>
                    </w:rPr>
                  </w:pPr>
                  <w:sdt>
                    <w:sdtPr>
                      <w:alias w:val="Numeris"/>
                      <w:tag w:val="nr_8550138f449842b08c84b7678c2e0c07"/>
                      <w:lock w:val="sdtLocked"/>
                      <w:richText/>
                    </w:sdtPr>
                    <w:sdtContent>
                      <w:r>
                        <w:rPr>
                          <w:color w:val="000000"/>
                        </w:rPr>
                        <w:t>1</w:t>
                      </w:r>
                    </w:sdtContent>
                  </w:sdt>
                  <w:r>
                    <w:rPr>
                      <w:color w:val="000000"/>
                    </w:rPr>
                    <w:t>. Šis Susitarimas galioja neribotą laikotarpį.</w:t>
                  </w:r>
                </w:p>
              </w:sdtContent>
            </w:sdt>
            <w:sdt>
              <w:sdtPr>
                <w:alias w:val="14 str. 2 d."/>
                <w:tag w:val="part_19508cb52d5742ccb82d5b4ab93be010"/>
                <w:lock w:val="sdtLocked"/>
                <w:richText/>
              </w:sdtPr>
              <w:sdtContent>
                <w:p>
                  <w:pPr>
                    <w:widowControl w:val="0"/>
                    <w:suppressAutoHyphens/>
                    <w:ind w:firstLine="567"/>
                    <w:jc w:val="both"/>
                    <w:rPr>
                      <w:color w:val="000000"/>
                    </w:rPr>
                  </w:pPr>
                  <w:sdt>
                    <w:sdtPr>
                      <w:alias w:val="Numeris"/>
                      <w:tag w:val="nr_19508cb52d5742ccb82d5b4ab93be010"/>
                      <w:lock w:val="sdtLocked"/>
                      <w:richText/>
                    </w:sdtPr>
                    <w:sdtContent>
                      <w:r>
                        <w:rPr>
                          <w:color w:val="000000"/>
                        </w:rPr>
                        <w:t>2</w:t>
                      </w:r>
                    </w:sdtContent>
                  </w:sdt>
                  <w:r>
                    <w:rPr>
                      <w:color w:val="000000"/>
                    </w:rPr>
                    <w:t>. Kiekviena Susitariančioji Šalis gali bet kada denonsuoti šį Susitarimą, apie denonsavimą pranešdama Europos Tarybos Generaliniam Sekretoriui.</w:t>
                  </w:r>
                </w:p>
              </w:sdtContent>
            </w:sdt>
            <w:sdt>
              <w:sdtPr>
                <w:alias w:val="14 str. 3 d."/>
                <w:tag w:val="part_fb3ef0af55c846228af09ab287cdf510"/>
                <w:lock w:val="sdtLocked"/>
                <w:richText/>
              </w:sdtPr>
              <w:sdtContent>
                <w:p>
                  <w:pPr>
                    <w:widowControl w:val="0"/>
                    <w:suppressAutoHyphens/>
                    <w:ind w:firstLine="567"/>
                    <w:jc w:val="both"/>
                    <w:rPr>
                      <w:color w:val="000000"/>
                    </w:rPr>
                  </w:pPr>
                  <w:sdt>
                    <w:sdtPr>
                      <w:alias w:val="Numeris"/>
                      <w:tag w:val="nr_fb3ef0af55c846228af09ab287cdf510"/>
                      <w:lock w:val="sdtLocked"/>
                      <w:richText/>
                    </w:sdtPr>
                    <w:sdtContent>
                      <w:r>
                        <w:rPr>
                          <w:color w:val="000000"/>
                        </w:rPr>
                        <w:t>3</w:t>
                      </w:r>
                    </w:sdtContent>
                  </w:sdt>
                  <w:r>
                    <w:rPr>
                      <w:color w:val="000000"/>
                    </w:rPr>
                    <w:t>. Šis denonsavimas įsigalioja praėjus šešiems mėnesiams nuo tos dienos, kai Generalinis Sekretorius gauna minėtą pranešimą.</w:t>
                  </w:r>
                </w:p>
                <w:p>
                  <w:pPr>
                    <w:widowControl w:val="0"/>
                    <w:suppressAutoHyphens/>
                    <w:ind w:firstLine="567"/>
                    <w:jc w:val="both"/>
                    <w:rPr>
                      <w:color w:val="000000"/>
                    </w:rPr>
                  </w:pPr>
                </w:p>
              </w:sdtContent>
            </w:sdt>
          </w:sdtContent>
        </w:sdt>
        <w:sdt>
          <w:sdtPr>
            <w:alias w:val="15 str."/>
            <w:tag w:val="part_87dbd8aaed0a47679952df3acd902496"/>
            <w:lock w:val="sdtLocked"/>
            <w:richText/>
          </w:sdtPr>
          <w:sdtContent>
            <w:p>
              <w:pPr>
                <w:widowControl w:val="0"/>
                <w:suppressAutoHyphens/>
                <w:jc w:val="center"/>
                <w:rPr>
                  <w:b/>
                  <w:bCs/>
                  <w:color w:val="000000"/>
                </w:rPr>
              </w:pPr>
              <w:sdt>
                <w:sdtPr>
                  <w:alias w:val="Numeris"/>
                  <w:tag w:val="nr_87dbd8aaed0a47679952df3acd902496"/>
                  <w:lock w:val="sdtLocked"/>
                  <w:richText/>
                </w:sdtPr>
                <w:sdtContent>
                  <w:r>
                    <w:rPr>
                      <w:b/>
                      <w:bCs/>
                      <w:color w:val="000000"/>
                    </w:rPr>
                    <w:t>15</w:t>
                  </w:r>
                </w:sdtContent>
              </w:sdt>
              <w:r>
                <w:rPr>
                  <w:b/>
                  <w:bCs/>
                  <w:color w:val="000000"/>
                </w:rPr>
                <w:t xml:space="preserve"> straipsnis</w:t>
              </w:r>
            </w:p>
            <w:p>
              <w:pPr>
                <w:widowControl w:val="0"/>
                <w:suppressAutoHyphens/>
                <w:jc w:val="center"/>
                <w:rPr>
                  <w:b/>
                  <w:bCs/>
                  <w:color w:val="000000"/>
                </w:rPr>
              </w:pPr>
            </w:p>
            <w:sdt>
              <w:sdtPr>
                <w:alias w:val="15 str. 1 d."/>
                <w:tag w:val="part_b963a874bbea4d65acb2bfb1839e49f5"/>
                <w:lock w:val="sdtLocked"/>
                <w:richText/>
              </w:sdtPr>
              <w:sdtContent>
                <w:p>
                  <w:pPr>
                    <w:widowControl w:val="0"/>
                    <w:suppressAutoHyphens/>
                    <w:ind w:firstLine="567"/>
                    <w:jc w:val="both"/>
                    <w:rPr>
                      <w:color w:val="000000"/>
                    </w:rPr>
                  </w:pPr>
                  <w:r>
                    <w:rPr>
                      <w:color w:val="000000"/>
                    </w:rPr>
                    <w:t>Europos Tarybos Generalinis Sekretorius Tarybos valstybėms narėms ir visoms prie šio Susitarimo prisijungusioms valstybėms praneša apie:</w:t>
                  </w:r>
                </w:p>
                <w:sdt>
                  <w:sdtPr>
                    <w:alias w:val="15 str. 1 d. a p."/>
                    <w:tag w:val="part_7b706d83ecac4b1299e3f3f333f850d0"/>
                    <w:lock w:val="sdtLocked"/>
                    <w:richText/>
                  </w:sdtPr>
                  <w:sdtContent>
                    <w:p>
                      <w:pPr>
                        <w:widowControl w:val="0"/>
                        <w:suppressAutoHyphens/>
                        <w:ind w:firstLine="567"/>
                        <w:jc w:val="both"/>
                        <w:rPr>
                          <w:color w:val="000000"/>
                        </w:rPr>
                      </w:pPr>
                      <w:r>
                        <w:rPr>
                          <w:color w:val="000000"/>
                        </w:rPr>
                        <w:t>a) kiekvieną pasirašymą be išlygos dėl ratifikavimo ar priėmimo;</w:t>
                      </w:r>
                    </w:p>
                  </w:sdtContent>
                </w:sdt>
                <w:sdt>
                  <w:sdtPr>
                    <w:alias w:val="15 str. 1 d. b p."/>
                    <w:tag w:val="part_6c055ecfc6814d97825f8f06d61b48c0"/>
                    <w:lock w:val="sdtLocked"/>
                    <w:richText/>
                  </w:sdtPr>
                  <w:sdtContent>
                    <w:p>
                      <w:pPr>
                        <w:widowControl w:val="0"/>
                        <w:suppressAutoHyphens/>
                        <w:ind w:firstLine="567"/>
                        <w:jc w:val="both"/>
                        <w:rPr>
                          <w:color w:val="000000"/>
                        </w:rPr>
                      </w:pPr>
                      <w:r>
                        <w:rPr>
                          <w:color w:val="000000"/>
                        </w:rPr>
                        <w:t>b) kiekvieną pasirašymą su išlyga dėl ratifikavimo ar priėmimo;</w:t>
                      </w:r>
                    </w:p>
                  </w:sdtContent>
                </w:sdt>
                <w:sdt>
                  <w:sdtPr>
                    <w:alias w:val="15 str. 1 d. c p."/>
                    <w:tag w:val="part_1fb13ddcc42b40f0a2fe2aa24e22c1c3"/>
                    <w:lock w:val="sdtLocked"/>
                    <w:richText/>
                  </w:sdtPr>
                  <w:sdtContent>
                    <w:p>
                      <w:pPr>
                        <w:widowControl w:val="0"/>
                        <w:suppressAutoHyphens/>
                        <w:ind w:firstLine="567"/>
                        <w:jc w:val="both"/>
                        <w:rPr>
                          <w:color w:val="000000"/>
                        </w:rPr>
                      </w:pPr>
                      <w:r>
                        <w:rPr>
                          <w:color w:val="000000"/>
                        </w:rPr>
                        <w:t>c) kiekvieno ratifikavimo, priėmimo arba prisijungimo dokumento deponavimą;</w:t>
                      </w:r>
                    </w:p>
                  </w:sdtContent>
                </w:sdt>
                <w:sdt>
                  <w:sdtPr>
                    <w:alias w:val="15 str. 1 d. d p."/>
                    <w:tag w:val="part_a2da74cd51074fb8bb9493dde7880987"/>
                    <w:lock w:val="sdtLocked"/>
                    <w:richText/>
                  </w:sdtPr>
                  <w:sdtContent>
                    <w:p>
                      <w:pPr>
                        <w:widowControl w:val="0"/>
                        <w:suppressAutoHyphens/>
                        <w:ind w:firstLine="567"/>
                        <w:jc w:val="both"/>
                        <w:rPr>
                          <w:color w:val="000000"/>
                        </w:rPr>
                      </w:pPr>
                      <w:r>
                        <w:rPr>
                          <w:color w:val="000000"/>
                        </w:rPr>
                        <w:t>d) kiekvieną šio Susitarimo įsigaliojimo pagal jo 11 straipsnį datą;</w:t>
                      </w:r>
                    </w:p>
                  </w:sdtContent>
                </w:sdt>
                <w:sdt>
                  <w:sdtPr>
                    <w:alias w:val="15 str. 1 d. e p."/>
                    <w:tag w:val="part_a1e0ec4161b94e3da19d556f8740212a"/>
                    <w:lock w:val="sdtLocked"/>
                    <w:richText/>
                  </w:sdtPr>
                  <w:sdtContent>
                    <w:p>
                      <w:pPr>
                        <w:widowControl w:val="0"/>
                        <w:suppressAutoHyphens/>
                        <w:ind w:firstLine="567"/>
                        <w:jc w:val="both"/>
                        <w:rPr>
                          <w:color w:val="000000"/>
                        </w:rPr>
                      </w:pPr>
                      <w:r>
                        <w:rPr>
                          <w:color w:val="000000"/>
                        </w:rPr>
                        <w:t>e) kiekvieną pranešimą, gautą pagal 13 straipsnio 2 ir 3 dalių nuostatas;</w:t>
                      </w:r>
                    </w:p>
                  </w:sdtContent>
                </w:sdt>
                <w:sdt>
                  <w:sdtPr>
                    <w:alias w:val="15 str. 1 d. f p."/>
                    <w:tag w:val="part_30055c16d9564758a9d9a20250120b64"/>
                    <w:lock w:val="sdtLocked"/>
                    <w:richText/>
                  </w:sdtPr>
                  <w:sdtContent>
                    <w:p>
                      <w:pPr>
                        <w:widowControl w:val="0"/>
                        <w:suppressAutoHyphens/>
                        <w:ind w:firstLine="567"/>
                        <w:jc w:val="both"/>
                        <w:rPr>
                          <w:color w:val="000000"/>
                        </w:rPr>
                      </w:pPr>
                      <w:r>
                        <w:rPr>
                          <w:color w:val="000000"/>
                        </w:rPr>
                        <w:t>f) kiekvieną pranešimą, gautą pagal 14 straipsnio nuostatas, ir denonsavimo įsigaliojimo datą;</w:t>
                      </w:r>
                    </w:p>
                  </w:sdtContent>
                </w:sdt>
                <w:sdt>
                  <w:sdtPr>
                    <w:alias w:val="15 str. 1 d. g p."/>
                    <w:tag w:val="part_dc8bed92384b458194f5afe511399128"/>
                    <w:lock w:val="sdtLocked"/>
                    <w:richText/>
                  </w:sdtPr>
                  <w:sdtContent>
                    <w:p>
                      <w:pPr>
                        <w:widowControl w:val="0"/>
                        <w:suppressAutoHyphens/>
                        <w:ind w:firstLine="567"/>
                        <w:jc w:val="both"/>
                        <w:rPr>
                          <w:color w:val="000000"/>
                        </w:rPr>
                      </w:pPr>
                      <w:r>
                        <w:rPr>
                          <w:color w:val="000000"/>
                        </w:rPr>
                        <w:t>g) kiekvieną pagal 8 straipsnio nuostatas gautą pranešimą.</w:t>
                      </w:r>
                    </w:p>
                    <w:p>
                      <w:pPr>
                        <w:widowControl w:val="0"/>
                        <w:suppressAutoHyphens/>
                        <w:jc w:val="center"/>
                        <w:rPr>
                          <w:color w:val="000000"/>
                        </w:rPr>
                      </w:pPr>
                    </w:p>
                    <w:p>
                      <w:pPr>
                        <w:widowControl w:val="0"/>
                        <w:suppressAutoHyphens/>
                        <w:ind w:firstLine="567"/>
                        <w:jc w:val="both"/>
                        <w:rPr>
                          <w:color w:val="000000"/>
                        </w:rPr>
                      </w:pPr>
                      <w:r>
                        <w:rPr>
                          <w:color w:val="000000"/>
                        </w:rPr>
                        <w:t>Tai patvirtindami, toliau nurodyti tinkamai įgalioti asmenys pasirašė šį Susitarimą.</w:t>
                      </w:r>
                    </w:p>
                    <w:p>
                      <w:pPr>
                        <w:widowControl w:val="0"/>
                        <w:suppressAutoHyphens/>
                        <w:jc w:val="center"/>
                        <w:rPr>
                          <w:color w:val="000000"/>
                        </w:rPr>
                      </w:pPr>
                    </w:p>
                    <w:p>
                      <w:pPr>
                        <w:widowControl w:val="0"/>
                        <w:suppressAutoHyphens/>
                        <w:ind w:firstLine="567"/>
                        <w:jc w:val="both"/>
                        <w:rPr>
                          <w:color w:val="000000"/>
                        </w:rPr>
                      </w:pPr>
                      <w:r>
                        <w:rPr>
                          <w:color w:val="000000"/>
                        </w:rPr>
                        <w:t>Priimta 1973 m. spalio 26 d. Strasbūre anglų ir prancūzų kalbomis. Abu tekstai turi vienodą teisinę galią ir vienu egzemplioriumi deponuojami Europos Tarybos archyvuose. Europos Tarybos Generalinis Sekretorius patvirtintas kopijas nusiunčia kiekvienai šį Susitarimą pasirašiusiai ir prie jo prisijungusiai valstybei.</w:t>
                      </w:r>
                    </w:p>
                    <w:p>
                      <w:pPr>
                        <w:widowControl w:val="0"/>
                        <w:suppressAutoHyphens/>
                        <w:jc w:val="both"/>
                        <w:rPr>
                          <w:color w:val="000000"/>
                        </w:rPr>
                      </w:pPr>
                    </w:p>
                  </w:sdtContent>
                </w:sdt>
              </w:sdtContent>
            </w:sdt>
          </w:sdtContent>
        </w:sdt>
        <w:sdt>
          <w:sdtPr>
            <w:alias w:val="pabaiga"/>
            <w:tag w:val="part_b8e9dc51b1e04c1e8812ef56dfbff0ea"/>
            <w:lock w:val="sdtLocked"/>
            <w:richText/>
          </w:sdtPr>
          <w:sdtContent>
            <w:p>
              <w:pPr>
                <w:widowControl w:val="0"/>
                <w:suppressAutoHyphens/>
                <w:jc w:val="center"/>
                <w:rPr>
                  <w:color w:val="000000"/>
                </w:rPr>
              </w:pPr>
              <w:r>
                <w:rPr>
                  <w:color w:val="000000"/>
                </w:rPr>
                <w:t>_________________</w:t>
              </w:r>
            </w:p>
            <w:p>
              <w:pPr>
                <w:widowControl w:val="0"/>
                <w:suppressAutoHyphens/>
                <w:jc w:val="both"/>
                <w:rPr>
                  <w:bCs/>
                  <w:color w:val="000000"/>
                </w:rPr>
              </w:pPr>
            </w:p>
            <w:p>
              <w:pPr>
                <w:widowControl w:val="0"/>
                <w:suppressAutoHyphens/>
                <w:jc w:val="center"/>
                <w:rPr>
                  <w:b/>
                  <w:bCs/>
                  <w:color w:val="000000"/>
                </w:rPr>
              </w:pPr>
              <w:r>
                <w:rPr>
                  <w:b/>
                  <w:bCs/>
                  <w:color w:val="000000"/>
                </w:rPr>
                <w:br w:type="page"/>
                <w:t>PRIEDĖLIS</w:t>
              </w:r>
            </w:p>
            <w:p>
              <w:pPr>
                <w:widowControl w:val="0"/>
                <w:suppressAutoHyphens/>
                <w:jc w:val="center"/>
                <w:rPr>
                  <w:color w:val="000000"/>
                </w:rPr>
              </w:pPr>
            </w:p>
          </w:sdtContent>
        </w:sdt>
      </w:sdtContent>
    </w:sdt>
    <w:sdt>
      <w:sdtPr>
        <w:alias w:val="pr."/>
        <w:tag w:val="part_a8017506bcd44e189a7bcec14f43d6f7"/>
        <w:lock w:val="sdtLocked"/>
        <w:richText/>
      </w:sdtPr>
      <w:sdtContent>
        <w:p>
          <w:pPr>
            <w:widowControl w:val="0"/>
            <w:suppressAutoHyphens/>
            <w:jc w:val="center"/>
            <w:rPr>
              <w:i/>
              <w:iCs/>
              <w:color w:val="000000"/>
            </w:rPr>
          </w:pPr>
          <w:r>
            <w:rPr>
              <w:color w:val="000000"/>
            </w:rPr>
            <w:t xml:space="preserve">Mirusiojo kūno </w:t>
          </w:r>
          <w:r>
            <w:rPr>
              <w:i/>
              <w:iCs/>
              <w:color w:val="000000"/>
            </w:rPr>
            <w:t>laissez-passer</w:t>
          </w:r>
        </w:p>
        <w:p>
          <w:pPr>
            <w:widowControl w:val="0"/>
            <w:suppressAutoHyphens/>
            <w:rPr>
              <w:bCs/>
              <w:color w:val="000000"/>
            </w:rPr>
          </w:pPr>
        </w:p>
        <w:p>
          <w:pPr>
            <w:widowControl w:val="0"/>
            <w:suppressAutoHyphens/>
            <w:ind w:firstLine="567"/>
            <w:jc w:val="both"/>
          </w:pPr>
          <w:r>
            <w:rPr>
              <w:color w:val="000000"/>
            </w:rPr>
            <w:t xml:space="preserve">Šis </w:t>
          </w:r>
          <w:r>
            <w:rPr>
              <w:i/>
              <w:iCs/>
              <w:color w:val="000000"/>
            </w:rPr>
            <w:t xml:space="preserve">laissez-passer </w:t>
          </w:r>
          <w:r>
            <w:rPr>
              <w:color w:val="000000"/>
            </w:rPr>
            <w:t>yra išduotas vadovaujantis Susitarimu dėl mirusiųjų kūnų pervežimo, ypač jo 3 ir 5 straipsniais</w:t>
          </w:r>
          <w:r>
            <w:rPr>
              <w:color w:val="000000"/>
              <w:vertAlign w:val="superscript"/>
            </w:rPr>
            <w:t>1</w:t>
          </w:r>
          <w:r>
            <w:rPr>
              <w:color w:val="000000"/>
            </w:rPr>
            <w:t>.</w:t>
          </w:r>
        </w:p>
        <w:p>
          <w:pPr>
            <w:widowControl w:val="0"/>
            <w:suppressAutoHyphens/>
            <w:ind w:firstLine="567"/>
            <w:jc w:val="both"/>
            <w:rPr>
              <w:color w:val="000000"/>
            </w:rPr>
          </w:pPr>
          <w:r>
            <w:rPr>
              <w:color w:val="000000"/>
            </w:rPr>
            <w:t>Šiuo dokumentu suteikiami įgaliojimai pervežti toliau nurodyto asmens kūną:</w:t>
          </w:r>
        </w:p>
        <w:p>
          <w:pPr>
            <w:widowControl w:val="0"/>
            <w:tabs>
              <w:tab w:val="right" w:leader="dot" w:pos="9071"/>
            </w:tabs>
            <w:suppressAutoHyphens/>
            <w:ind w:firstLine="567"/>
            <w:jc w:val="both"/>
            <w:rPr>
              <w:color w:val="000000"/>
            </w:rPr>
          </w:pPr>
          <w:r>
            <w:rPr>
              <w:color w:val="000000"/>
            </w:rPr>
            <w:t>Mirusiojo pavardė ir vardas</w:t>
            <w:tab/>
          </w:r>
        </w:p>
        <w:p>
          <w:pPr>
            <w:widowControl w:val="0"/>
            <w:tabs>
              <w:tab w:val="right" w:leader="dot" w:pos="9071"/>
            </w:tabs>
            <w:suppressAutoHyphens/>
            <w:ind w:firstLine="567"/>
            <w:jc w:val="both"/>
            <w:rPr>
              <w:color w:val="000000"/>
            </w:rPr>
          </w:pPr>
          <w:r>
            <w:rPr>
              <w:color w:val="000000"/>
            </w:rPr>
            <w:t>.</w:t>
            <w:tab/>
          </w:r>
        </w:p>
        <w:p>
          <w:pPr>
            <w:widowControl w:val="0"/>
            <w:tabs>
              <w:tab w:val="right" w:leader="dot" w:pos="9071"/>
            </w:tabs>
            <w:suppressAutoHyphens/>
            <w:ind w:firstLine="567"/>
            <w:jc w:val="both"/>
            <w:rPr>
              <w:color w:val="000000"/>
            </w:rPr>
          </w:pPr>
          <w:r>
            <w:rPr>
              <w:color w:val="000000"/>
            </w:rPr>
            <w:t xml:space="preserve">Mirties data ....................... vieta </w:t>
            <w:tab/>
          </w:r>
        </w:p>
        <w:p>
          <w:pPr>
            <w:widowControl w:val="0"/>
            <w:tabs>
              <w:tab w:val="right" w:leader="dot" w:pos="9071"/>
            </w:tabs>
            <w:suppressAutoHyphens/>
            <w:ind w:firstLine="567"/>
            <w:jc w:val="both"/>
          </w:pPr>
          <w:r>
            <w:rPr>
              <w:color w:val="000000"/>
            </w:rPr>
            <w:t>Mirties priežastis (jei žinoma)</w:t>
          </w:r>
          <w:r>
            <w:rPr>
              <w:color w:val="000000"/>
              <w:vertAlign w:val="superscript"/>
            </w:rPr>
            <w:t>2</w:t>
          </w:r>
          <w:r>
            <w:rPr>
              <w:color w:val="000000"/>
            </w:rPr>
            <w:t xml:space="preserve"> ir </w:t>
          </w:r>
          <w:r>
            <w:rPr>
              <w:color w:val="000000"/>
              <w:vertAlign w:val="superscript"/>
            </w:rPr>
            <w:t>3</w:t>
          </w:r>
          <w:r>
            <w:rPr>
              <w:color w:val="000000"/>
            </w:rPr>
            <w:t>.</w:t>
            <w:tab/>
          </w:r>
        </w:p>
        <w:p>
          <w:pPr>
            <w:widowControl w:val="0"/>
            <w:tabs>
              <w:tab w:val="right" w:leader="dot" w:pos="9071"/>
            </w:tabs>
            <w:suppressAutoHyphens/>
            <w:ind w:firstLine="567"/>
            <w:jc w:val="both"/>
            <w:rPr>
              <w:color w:val="000000"/>
            </w:rPr>
          </w:pPr>
          <w:r>
            <w:rPr>
              <w:color w:val="000000"/>
            </w:rPr>
            <w:t>.</w:t>
            <w:tab/>
          </w:r>
        </w:p>
        <w:p>
          <w:pPr>
            <w:widowControl w:val="0"/>
            <w:tabs>
              <w:tab w:val="right" w:leader="dot" w:pos="9071"/>
            </w:tabs>
            <w:suppressAutoHyphens/>
            <w:ind w:firstLine="567"/>
            <w:jc w:val="both"/>
            <w:rPr>
              <w:color w:val="000000"/>
            </w:rPr>
          </w:pPr>
          <w:r>
            <w:rPr>
              <w:color w:val="000000"/>
            </w:rPr>
            <w:t>Mirusiojo amžius jo mirties dieną</w:t>
            <w:tab/>
          </w:r>
        </w:p>
        <w:p>
          <w:pPr>
            <w:widowControl w:val="0"/>
            <w:tabs>
              <w:tab w:val="right" w:leader="dot" w:pos="9071"/>
            </w:tabs>
            <w:suppressAutoHyphens/>
            <w:ind w:firstLine="567"/>
            <w:jc w:val="both"/>
            <w:rPr>
              <w:color w:val="000000"/>
            </w:rPr>
          </w:pPr>
          <w:r>
            <w:rPr>
              <w:color w:val="000000"/>
            </w:rPr>
            <w:t xml:space="preserve">Gimimo data ir vieta (jei žinoma) </w:t>
            <w:tab/>
          </w:r>
        </w:p>
        <w:sdt>
          <w:sdtPr>
            <w:alias w:val="pabaiga"/>
            <w:tag w:val="part_9f9a91f5729448bc9b77df5dbd59b9f7"/>
            <w:lock w:val="sdtLocked"/>
            <w:richText/>
          </w:sdtPr>
          <w:sdtContent>
            <w:p>
              <w:pPr>
                <w:widowControl w:val="0"/>
                <w:tabs>
                  <w:tab w:val="right" w:leader="dot" w:pos="9071"/>
                </w:tabs>
                <w:suppressAutoHyphens/>
                <w:jc w:val="center"/>
                <w:rPr>
                  <w:bCs/>
                  <w:color w:val="000000"/>
                </w:rPr>
              </w:pPr>
              <w:r>
                <w:rPr>
                  <w:color w:val="000000"/>
                </w:rPr>
                <w:t>_________________</w:t>
              </w:r>
            </w:p>
          </w:sdtContent>
        </w:sdt>
      </w:sdtContent>
    </w:sdt>
    <w:sdt>
      <w:sdtPr>
        <w:alias w:val="pr."/>
        <w:tag w:val="part_8a4d6d7b1b2742d193051a157432d7db"/>
        <w:lock w:val="sdtLocked"/>
        <w:richText/>
      </w:sdtPr>
      <w:sdtContent>
        <w:p>
          <w:pPr>
            <w:widowControl w:val="0"/>
            <w:tabs>
              <w:tab w:val="right" w:leader="dot" w:pos="9071"/>
            </w:tabs>
            <w:suppressAutoHyphens/>
            <w:ind w:firstLine="567"/>
            <w:jc w:val="both"/>
            <w:rPr>
              <w:color w:val="000000"/>
            </w:rPr>
          </w:pPr>
          <w:r>
            <w:rPr>
              <w:color w:val="000000"/>
            </w:rPr>
            <w:t xml:space="preserve">Kūnas turi būti vežamas </w:t>
            <w:tab/>
          </w:r>
        </w:p>
        <w:p>
          <w:pPr>
            <w:widowControl w:val="0"/>
            <w:tabs>
              <w:tab w:val="right" w:leader="dot" w:pos="9071"/>
            </w:tabs>
            <w:suppressAutoHyphens/>
            <w:ind w:firstLine="567"/>
            <w:jc w:val="both"/>
            <w:rPr>
              <w:color w:val="000000"/>
            </w:rPr>
          </w:pPr>
          <w:r>
            <w:rPr>
              <w:color w:val="000000"/>
            </w:rPr>
            <w:t>.</w:t>
            <w:tab/>
            <w:t xml:space="preserve"> (transporto rūšis)</w:t>
          </w:r>
        </w:p>
        <w:p>
          <w:pPr>
            <w:widowControl w:val="0"/>
            <w:tabs>
              <w:tab w:val="right" w:leader="dot" w:pos="9071"/>
            </w:tabs>
            <w:suppressAutoHyphens/>
            <w:ind w:firstLine="567"/>
            <w:jc w:val="both"/>
            <w:rPr>
              <w:color w:val="000000"/>
            </w:rPr>
          </w:pPr>
          <w:r>
            <w:rPr>
              <w:color w:val="000000"/>
            </w:rPr>
            <w:t xml:space="preserve">iš </w:t>
            <w:tab/>
            <w:t xml:space="preserve"> (išsiuntimo vieta)</w:t>
          </w:r>
        </w:p>
        <w:p>
          <w:pPr>
            <w:widowControl w:val="0"/>
            <w:tabs>
              <w:tab w:val="right" w:leader="dot" w:pos="9071"/>
            </w:tabs>
            <w:suppressAutoHyphens/>
            <w:ind w:firstLine="567"/>
            <w:jc w:val="both"/>
            <w:rPr>
              <w:color w:val="000000"/>
            </w:rPr>
          </w:pPr>
          <w:r>
            <w:rPr>
              <w:color w:val="000000"/>
            </w:rPr>
            <w:t xml:space="preserve">per </w:t>
            <w:tab/>
            <w:t xml:space="preserve"> (maršrutas)</w:t>
          </w:r>
        </w:p>
        <w:p>
          <w:pPr>
            <w:widowControl w:val="0"/>
            <w:tabs>
              <w:tab w:val="right" w:leader="dot" w:pos="9071"/>
            </w:tabs>
            <w:suppressAutoHyphens/>
            <w:ind w:firstLine="567"/>
            <w:jc w:val="both"/>
            <w:rPr>
              <w:color w:val="000000"/>
            </w:rPr>
          </w:pPr>
          <w:r>
            <w:rPr>
              <w:color w:val="000000"/>
            </w:rPr>
            <w:t xml:space="preserve">į </w:t>
            <w:tab/>
            <w:t xml:space="preserve"> (paskirties vieta)</w:t>
          </w:r>
        </w:p>
        <w:p>
          <w:pPr>
            <w:widowControl w:val="0"/>
            <w:tabs>
              <w:tab w:val="left" w:pos="4560"/>
              <w:tab w:val="right" w:leader="dot" w:pos="9071"/>
            </w:tabs>
            <w:suppressAutoHyphens/>
            <w:ind w:firstLine="567"/>
            <w:jc w:val="both"/>
            <w:rPr>
              <w:color w:val="000000"/>
            </w:rPr>
          </w:pPr>
        </w:p>
        <w:p>
          <w:pPr>
            <w:widowControl w:val="0"/>
            <w:tabs>
              <w:tab w:val="left" w:pos="4560"/>
              <w:tab w:val="right" w:leader="dot" w:pos="9071"/>
            </w:tabs>
            <w:suppressAutoHyphens/>
            <w:ind w:firstLine="567"/>
            <w:jc w:val="both"/>
            <w:rPr>
              <w:color w:val="000000"/>
            </w:rPr>
          </w:pPr>
          <w:r>
            <w:rPr>
              <w:color w:val="000000"/>
            </w:rPr>
            <w:t>Šio mirusiojo kūno vežimas yra tinkamai patvirtintas; visos be išimties valstybių, per kurių teritorijas mirusiojo kūnas vežamas, institucijos privalo netrukdydamos jį praleisti.</w:t>
          </w:r>
        </w:p>
        <w:p>
          <w:pPr>
            <w:widowControl w:val="0"/>
            <w:tabs>
              <w:tab w:val="left" w:pos="4560"/>
              <w:tab w:val="right" w:leader="dot" w:pos="9071"/>
            </w:tabs>
            <w:suppressAutoHyphens/>
            <w:jc w:val="both"/>
            <w:rPr>
              <w:color w:val="000000"/>
            </w:rPr>
          </w:pPr>
        </w:p>
        <w:p>
          <w:pPr>
            <w:widowControl w:val="0"/>
            <w:tabs>
              <w:tab w:val="left" w:leader="dot" w:pos="4560"/>
              <w:tab w:val="right" w:leader="dot" w:pos="9071"/>
            </w:tabs>
            <w:suppressAutoHyphens/>
            <w:ind w:firstLine="567"/>
            <w:jc w:val="both"/>
            <w:rPr>
              <w:color w:val="000000"/>
            </w:rPr>
          </w:pPr>
          <w:r>
            <w:rPr>
              <w:color w:val="000000"/>
            </w:rPr>
            <w:t xml:space="preserve">Priimta </w:t>
            <w:tab/>
            <w:t xml:space="preserve"> (kada) </w:t>
            <w:tab/>
            <w:t xml:space="preserve"> (kur)</w:t>
          </w:r>
        </w:p>
        <w:p>
          <w:pPr>
            <w:widowControl w:val="0"/>
            <w:suppressAutoHyphens/>
            <w:jc w:val="both"/>
            <w:rPr>
              <w:color w:val="000000"/>
            </w:rPr>
          </w:pPr>
        </w:p>
        <w:tbl>
          <w:tblPr>
            <w:tblW w:w="9120" w:type="dxa"/>
            <w:tblInd w:w="108" w:type="dxa"/>
            <w:tblLayout w:type="fixed"/>
            <w:tblCellMar>
              <w:left w:w="0" w:type="dxa"/>
              <w:right w:w="0" w:type="dxa"/>
            </w:tblCellMar>
            <w:tblLook w:val="0000" w:firstRow="0" w:lastRow="0" w:firstColumn="0" w:lastColumn="0" w:noHBand="0" w:noVBand="0"/>
          </w:tblPr>
          <w:tblGrid>
            <w:gridCol w:w="4320"/>
            <w:gridCol w:w="784"/>
            <w:gridCol w:w="4016"/>
          </w:tblGrid>
          <w:tr>
            <w:trPr>
              <w:trHeight w:val="60"/>
            </w:trPr>
            <w:tc>
              <w:tcPr>
                <w:tcW w:w="4320" w:type="dxa"/>
                <w:tcBorders>
                  <w:top w:val="nil"/>
                  <w:left w:val="nil"/>
                  <w:bottom w:val="nil"/>
                  <w:right w:val="nil"/>
                </w:tcBorders>
                <w:tcMar>
                  <w:top w:w="0" w:type="dxa"/>
                  <w:left w:w="108" w:type="dxa"/>
                  <w:bottom w:w="0" w:type="dxa"/>
                  <w:right w:w="108" w:type="dxa"/>
                </w:tcMar>
              </w:tcPr>
              <w:p>
                <w:pPr>
                  <w:widowControl w:val="0"/>
                  <w:suppressAutoHyphens/>
                  <w:rPr>
                    <w:color w:val="000000"/>
                  </w:rPr>
                </w:pPr>
                <w:r>
                  <w:rPr>
                    <w:color w:val="000000"/>
                  </w:rPr>
                  <w:t>Kompetentingos institucijos atstovo parašas</w:t>
                </w:r>
              </w:p>
            </w:tc>
            <w:tc>
              <w:tcPr>
                <w:tcW w:w="784" w:type="dxa"/>
                <w:tcBorders>
                  <w:top w:val="nil"/>
                  <w:left w:val="nil"/>
                  <w:bottom w:val="nil"/>
                  <w:right w:val="nil"/>
                </w:tcBorders>
              </w:tcPr>
              <w:p>
                <w:pPr>
                  <w:widowControl w:val="0"/>
                  <w:suppressAutoHyphens/>
                  <w:rPr>
                    <w:color w:val="000000"/>
                  </w:rPr>
                </w:pPr>
              </w:p>
            </w:tc>
            <w:tc>
              <w:tcPr>
                <w:tcW w:w="4016" w:type="dxa"/>
                <w:tcBorders>
                  <w:top w:val="nil"/>
                  <w:left w:val="nil"/>
                  <w:bottom w:val="nil"/>
                  <w:right w:val="nil"/>
                </w:tcBorders>
                <w:tcMar>
                  <w:top w:w="0" w:type="dxa"/>
                  <w:left w:w="108" w:type="dxa"/>
                  <w:bottom w:w="0" w:type="dxa"/>
                  <w:right w:w="108" w:type="dxa"/>
                </w:tcMar>
              </w:tcPr>
              <w:p>
                <w:pPr>
                  <w:widowControl w:val="0"/>
                  <w:suppressAutoHyphens/>
                  <w:rPr>
                    <w:color w:val="000000"/>
                  </w:rPr>
                </w:pPr>
                <w:r>
                  <w:rPr>
                    <w:color w:val="000000"/>
                  </w:rPr>
                  <w:t>Kompetentingos institucijos oficialus antspaudas</w:t>
                </w:r>
              </w:p>
            </w:tc>
          </w:tr>
        </w:tbl>
        <w:p>
          <w:pPr>
            <w:widowControl w:val="0"/>
            <w:suppressAutoHyphens/>
            <w:jc w:val="both"/>
            <w:rPr>
              <w:color w:val="000000"/>
            </w:rPr>
          </w:pPr>
        </w:p>
        <w:p>
          <w:pPr>
            <w:widowControl w:val="0"/>
            <w:suppressAutoHyphens/>
            <w:jc w:val="both"/>
            <w:rPr>
              <w:color w:val="000000"/>
            </w:rPr>
          </w:pPr>
          <w:r>
            <w:rPr>
              <w:color w:val="000000"/>
            </w:rPr>
            <w:t>__________________</w:t>
          </w:r>
        </w:p>
        <w:p>
          <w:pPr>
            <w:widowControl w:val="0"/>
            <w:suppressAutoHyphens/>
            <w:jc w:val="both"/>
            <w:rPr>
              <w:color w:val="000000"/>
              <w:sz w:val="22"/>
              <w:szCs w:val="22"/>
            </w:rPr>
          </w:pPr>
          <w:r>
            <w:rPr>
              <w:color w:val="000000"/>
              <w:sz w:val="22"/>
              <w:szCs w:val="22"/>
              <w:vertAlign w:val="superscript"/>
            </w:rPr>
            <w:t>1</w:t>
          </w:r>
          <w:r>
            <w:rPr>
              <w:color w:val="000000"/>
              <w:sz w:val="22"/>
              <w:szCs w:val="22"/>
            </w:rPr>
            <w:t xml:space="preserve"> Susitarimo 3 ir 5 straipsnių tekstas turi būti pateiktas kitoje </w:t>
          </w:r>
          <w:r>
            <w:rPr>
              <w:i/>
              <w:iCs/>
              <w:color w:val="000000"/>
              <w:sz w:val="22"/>
              <w:szCs w:val="22"/>
            </w:rPr>
            <w:t xml:space="preserve">laissez-passer </w:t>
          </w:r>
          <w:r>
            <w:rPr>
              <w:color w:val="000000"/>
              <w:sz w:val="22"/>
              <w:szCs w:val="22"/>
            </w:rPr>
            <w:t>pusėje.</w:t>
          </w:r>
        </w:p>
        <w:p>
          <w:pPr>
            <w:widowControl w:val="0"/>
            <w:suppressAutoHyphens/>
            <w:jc w:val="both"/>
            <w:rPr>
              <w:color w:val="000000"/>
              <w:sz w:val="22"/>
              <w:szCs w:val="22"/>
            </w:rPr>
          </w:pPr>
          <w:r>
            <w:rPr>
              <w:color w:val="000000"/>
              <w:sz w:val="22"/>
              <w:szCs w:val="22"/>
              <w:vertAlign w:val="superscript"/>
            </w:rPr>
            <w:t>2</w:t>
          </w:r>
          <w:r>
            <w:rPr>
              <w:color w:val="000000"/>
              <w:sz w:val="22"/>
              <w:szCs w:val="22"/>
            </w:rPr>
            <w:t xml:space="preserve"> Mirties priežastį būtina nurodyti anglų ar prancūzų kalba arba skaitmeniniu PSO tarptautinės ligų klasifikacijos kodu.</w:t>
          </w:r>
        </w:p>
        <w:p>
          <w:pPr>
            <w:widowControl w:val="0"/>
            <w:jc w:val="both"/>
            <w:textAlignment w:val="center"/>
            <w:rPr>
              <w:i/>
              <w:iCs/>
              <w:color w:val="000000"/>
              <w:sz w:val="22"/>
              <w:szCs w:val="22"/>
            </w:rPr>
          </w:pPr>
          <w:r>
            <w:rPr>
              <w:color w:val="000000"/>
              <w:sz w:val="22"/>
              <w:szCs w:val="22"/>
              <w:vertAlign w:val="superscript"/>
            </w:rPr>
            <w:t>3</w:t>
          </w:r>
          <w:r>
            <w:rPr>
              <w:color w:val="000000"/>
              <w:sz w:val="22"/>
              <w:szCs w:val="22"/>
            </w:rPr>
            <w:t xml:space="preserve"> Jei mirties priežastis nenurodyta dėl profesinės paslapties, mirties priežastis nurodoma pažymėjime, kuris įdedamas į antspauduotą voką, vežamą kartu su mirusiojo kūnu ir pateikiamą paskirties valstybės kompetentingai institucijai. Antspauduotas vokas, ant kurio yra specialus atpažinimo ženklas, pritvirtinamas prie </w:t>
          </w:r>
          <w:r>
            <w:rPr>
              <w:i/>
              <w:iCs/>
              <w:color w:val="000000"/>
              <w:sz w:val="22"/>
              <w:szCs w:val="22"/>
            </w:rPr>
            <w:t>laissez-passer.</w:t>
          </w:r>
        </w:p>
        <w:p>
          <w:pPr>
            <w:widowControl w:val="0"/>
            <w:jc w:val="both"/>
            <w:textAlignment w:val="center"/>
            <w:rPr>
              <w:color w:val="000000"/>
              <w:sz w:val="22"/>
              <w:szCs w:val="22"/>
            </w:rPr>
          </w:pPr>
          <w:r>
            <w:rPr>
              <w:color w:val="000000"/>
              <w:sz w:val="22"/>
              <w:szCs w:val="22"/>
            </w:rPr>
            <w:t xml:space="preserve">Galimas ir kitas variantas – </w:t>
          </w:r>
          <w:r>
            <w:rPr>
              <w:i/>
              <w:iCs/>
              <w:color w:val="000000"/>
              <w:sz w:val="22"/>
              <w:szCs w:val="22"/>
            </w:rPr>
            <w:t>laissez-passer</w:t>
          </w:r>
          <w:r>
            <w:rPr>
              <w:color w:val="000000"/>
              <w:sz w:val="22"/>
              <w:szCs w:val="22"/>
            </w:rPr>
            <w:t xml:space="preserve"> nurodyti, kad asmuo mirė natūralia mirtimi ir ne nuo užkrečiamosios ligos.</w:t>
          </w:r>
        </w:p>
        <w:p>
          <w:pPr>
            <w:widowControl w:val="0"/>
            <w:suppressAutoHyphens/>
            <w:jc w:val="both"/>
            <w:rPr>
              <w:color w:val="000000"/>
              <w:sz w:val="22"/>
              <w:szCs w:val="22"/>
            </w:rPr>
          </w:pPr>
          <w:r>
            <w:rPr>
              <w:color w:val="000000"/>
              <w:sz w:val="22"/>
              <w:szCs w:val="22"/>
            </w:rPr>
            <w:t>Jei atvejis kitoks, turėtų būti nurodytos mirties aplinkybės arba užkrečiamosios ligos rūšis.</w:t>
          </w:r>
        </w:p>
        <w:p>
          <w:pPr>
            <w:widowControl w:val="0"/>
            <w:suppressAutoHyphens/>
            <w:jc w:val="both"/>
            <w:rPr>
              <w:color w:val="000000"/>
              <w:sz w:val="22"/>
              <w:szCs w:val="22"/>
            </w:rPr>
          </w:pPr>
        </w:p>
        <w:sdt>
          <w:sdtPr>
            <w:alias w:val="pabaiga"/>
            <w:tag w:val="part_0cced11be19c4de7a82692a8e8b3eb25"/>
            <w:lock w:val="sdtLocked"/>
            <w:richText/>
          </w:sdtPr>
          <w:sdtContent>
            <w:p>
              <w:pPr>
                <w:widowControl w:val="0"/>
                <w:suppressAutoHyphens/>
                <w:jc w:val="center"/>
              </w:pPr>
              <w:r>
                <w:rPr>
                  <w:color w:val="000000"/>
                </w:rPr>
                <w:t>_________________</w:t>
              </w:r>
            </w:p>
            <w:p/>
          </w:sdtContent>
        </w:sdt>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63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wmf"/>
  <Relationship Id="rId6" Type="http://schemas.openxmlformats.org/officeDocument/2006/relationships/control" Target="activeX/activeX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164808082cd49078ee485777a8e902f" PartId="d5072f513e9547f0aeb9f81d3e3c20e1">
    <Part Type="preambule" DocPartId="97eabf9937e446a4b96eb0a7be952fd5" PartId="24ffec1a9d8048e9a2649d914c36e6a0"/>
    <Part Type="pastraipa" DocPartId="6c6402c1e89243808e9373de10735688" PartId="1141858fed3d4b61a584fb48084de8a7"/>
    <Part Type="straipsnis" Nr="1" Abbr="1 str." DocPartId="76fa20ad0aa74a119e19645b1b043809" PartId="3d87597f9b104599a88ed0ead29e7f57">
      <Part Type="strDalis" Nr="1" Abbr="1 str. 1 d." DocPartId="e8a30300e86a4f8aa58897b21d249063" PartId="851f756d7342490eb7fecebee8465e15"/>
      <Part Type="strDalis" Nr="2" Abbr="1 str. 2 d." DocPartId="59131ddb8b604b0598365777339c1060" PartId="8a63eb72e46544fbb9d214c0f9a67544"/>
      <Part Type="strDalis" Nr="3" Abbr="1 str. 3 d." DocPartId="de771f3894434246b17d67e8f169254c" PartId="61bbe74168144758aa07cc2e449aa119"/>
    </Part>
    <Part Type="straipsnis" Nr="2" Abbr="2 str." DocPartId="e5e3d3be9dc2470bba3a21cf4ff566b8" PartId="b68788fc6aa44d3da1bbd344e9a6cbf9">
      <Part Type="strDalis" Nr="1" Abbr="2 str. 1 d." DocPartId="af76b8367c93426c93246265571d407d" PartId="45a8b9b29e97492dab62e06584ad75f5"/>
      <Part Type="strDalis" Nr="2" Abbr="2 str. 2 d." DocPartId="08ea891e9ba4417fa059155c54f33454" PartId="0a77b598c4cf4ad79f45b672842adcae"/>
    </Part>
    <Part Type="straipsnis" Nr="3" Abbr="3 str." DocPartId="940773c554bc491580f1688a80960202" PartId="7d9fd1cbe8b64a52ae8397348242156a">
      <Part Type="strDalis" Nr="1" Abbr="3 str. 1 d." DocPartId="917a9a7329c141b89a8e4260bf97a417" PartId="44792d38b96f41ae93a9ff0a2074d687"/>
      <Part Type="strDalis" Nr="2" Abbr="3 str. 2 d." DocPartId="7fe64b6ae79343b88b7eeef6176c6fa9" PartId="f6b68065b9a0457a897441a1e9606367"/>
    </Part>
    <Part Type="straipsnis" Nr="4" Abbr="4 str." DocPartId="b9170622a6c6431aa95efc0189385ed5" PartId="4afcdd55a53f4a5587d890ff8a01ef1d">
      <Part Type="strDalis" Nr="1" Abbr="4 str. 1 d." DocPartId="348c85b2b9c64061b250b625e005cfd8" PartId="be289623bee9411bb10940dede90db31"/>
    </Part>
    <Part Type="straipsnis" Nr="5" Abbr="5 str." DocPartId="43530bc2847643818e7fb8f7ea700fac" PartId="6e52283186d34f25afda06124e7a36b8">
      <Part Type="strDalis" Nr="1" Abbr="5 str. 1 d." DocPartId="6d3e442b3ce24834859a5b5d4a7b0bde" PartId="02df88297c11413a9dbd5f063f2f836f">
        <Part Type="strPunktas" Nr="a" Abbr="5 str. 1 d. a p." DocPartId="3e2621cf0e864f62861acb66a8764c81" PartId="128abb6b558846ce9683ef46dfedbe4a"/>
        <Part Type="strPunktas" Nr="b" Abbr="5 str. 1 d. b p." DocPartId="f0d29e6be3744e25a101035e507eb86d" PartId="8e5a083f4d854236b48a7e8eb8b7cdba"/>
        <Part Type="strPunktas" Nr="c" Abbr="5 str. 1 d. c p." DocPartId="e71513a5db2d4075b7b606896b2e4bc0" PartId="6a874a6c1b464582a96eba2bf12ba300"/>
      </Part>
    </Part>
    <Part Type="straipsnis" Nr="6" Abbr="6 str." DocPartId="737e3b4bc3fc4dc2b0e53d97ed1ae74b" PartId="78d529bbb9324465b880d32b6f4633d3">
      <Part Type="strDalis" Nr="1" Abbr="6 str. 1 d." DocPartId="15cd79186d7b43738f66b72e58317598" PartId="52434d5a01234ea495e78ec9c83d5265">
        <Part Type="strPunktas" Nr="i" Abbr="6 str. 1 d. i p." Notes="Numeris ne iš eilės. Trūksta dalių? [DocDalys]" DocPartId="dea22375ec254a4ea1ab788533048366" PartId="77386f1531ae40c8ab0cc1c12c31bd28"/>
        <Part Type="strPunktas" Nr="ii" Abbr="6 str. 1 d. ii p." Notes="Numeris ne iš eilės. Trūksta dalių? [DocDalys]" DocPartId="417bf4247e3f4137b6a0a545050053de" PartId="003f3cb77b8b48a0aec33b3227d36e01"/>
      </Part>
      <Part Type="strDalis" Nr="2" Abbr="6 str. 2 d." DocPartId="0f2bfb2cd8e7412a99eec434bbde12a5" PartId="d027f01f4eb74d0d94a2863aff77123a"/>
      <Part Type="strDalis" Nr="3" Abbr="6 str. 3 d." DocPartId="ef026712c84c4921b4a8d2c769d336ba" PartId="a5ee12cb58e94e7886f52d338358395f"/>
    </Part>
    <Part Type="straipsnis" Nr="7" Abbr="7 str." DocPartId="7e77003b882840d296fe7dbabb9516d5" PartId="0d1453dee5cd4082a2161ee3ad98e47f">
      <Part Type="strDalis" Nr="1" Abbr="7 str. 1 d." DocPartId="1319541f94bc4e4a8f9ec9ac9624dd1d" PartId="6c2cdaaa192545e48cd91be848ef99c2"/>
    </Part>
    <Part Type="straipsnis" Nr="8" Abbr="8 str." DocPartId="05f6afe9ef6e42249b419e5ec01c78d9" PartId="2d7791a5bd874ef89c3f3e53916796a0">
      <Part Type="strDalis" Nr="1" Abbr="8 str. 1 d." DocPartId="a97862e676af48de9ec081f9bca6e0f8" PartId="de5fc6d9b3d74dcf8a3303efa9a6eb0e"/>
    </Part>
    <Part Type="straipsnis" Nr="9" Abbr="9 str." DocPartId="040ec755b3c044718fde56a190772be6" PartId="7056cccbfb7244f7a594a48e883b5458">
      <Part Type="strDalis" Nr="1" Abbr="9 str. 1 d." DocPartId="19f3c5c371cf4bdca5c0592e7de7b031" PartId="f75a632f44bb441d8af223aeba334ada"/>
    </Part>
    <Part Type="straipsnis" Nr="10" Abbr="10 str." DocPartId="0fe4a3b71d7a43f08ad1743276ae1a83" PartId="9a6760e1863a41a3ad4bcd04456932ee">
      <Part Type="strDalis" Nr="1" Abbr="10 str. 1 d." DocPartId="216023ec22fe40a58b06357f4b868a96" PartId="602986d750c348be993d02031504201f">
        <Part Type="strPunktas" Nr="a" Abbr="10 str. 1 d. a p." DocPartId="ced5db1fa1324e578cb9febb003676e3" PartId="18943502ec7540a8bea6476c9f1b3bc5"/>
        <Part Type="strPunktas" Nr="b" Abbr="10 str. 1 d. b p." DocPartId="61ac331f3f5c44ffa8bb2deb6f4b201c" PartId="92ca384fe33c42c0b83834b2f6d54f5e"/>
      </Part>
      <Part Type="strDalis" Nr="2" Abbr="10 str. 2 d." DocPartId="1aee4b561c4245c5a744e403ec66ea59" PartId="5bab02f0ca804516829c0a766c3685a8"/>
    </Part>
    <Part Type="straipsnis" Nr="11" Abbr="11 str." DocPartId="37cbd7cb00064eae890a612642de7f19" PartId="89d611d7b5e84287945c8859df939f6b">
      <Part Type="strDalis" Nr="1" Abbr="11 str. 1 d." DocPartId="bf4933e874524c69a67f4278e6165d5a" PartId="8939b3c4046945afb196710be35141ca"/>
      <Part Type="strDalis" Nr="2" Abbr="11 str. 2 d." DocPartId="309910e5a14047d5b4747e6c1a798678" PartId="53a2972ac2684c969442aa6e331415fd"/>
    </Part>
    <Part Type="straipsnis" Nr="12" Abbr="12 str." DocPartId="2ea0659fde72492a8a141e674b4310b3" PartId="60bb6d5d3cec4b71a775c5abe48c489a">
      <Part Type="strDalis" Nr="1" Abbr="12 str. 1 d." DocPartId="2ac1ef967d14428db1e3a5cd15c1093e" PartId="d94641ba4ff94b8897470a2bdd8f2cc6"/>
      <Part Type="strDalis" Nr="2" Abbr="12 str. 2 d." DocPartId="92612382fb6047a9b38041e881f7c6d0" PartId="64443ed64c72415cb07ef74ede1a0a0f"/>
    </Part>
    <Part Type="straipsnis" Nr="13" Abbr="13 str." DocPartId="02bf913caa5341b58caee384c5fc607b" PartId="99d162202dc042868e19eaa99becb7c2">
      <Part Type="strDalis" Nr="1" Abbr="13 str. 1 d." DocPartId="4444f1b0573d4b248f72057fe06ee0ea" PartId="469734e8b9154f368f751b402e1bc3f1"/>
      <Part Type="strDalis" Nr="2" Abbr="13 str. 2 d." DocPartId="2bd2e03a97df48eb9e6e76e36ca62009" PartId="55f5d361c3af4054b895ec422a3a4f25"/>
      <Part Type="strDalis" Nr="3" Abbr="13 str. 3 d." DocPartId="573f38ad05ab485a8b2bc69e56935775" PartId="e2a22f51a2a648918c3452a3ac29cf90"/>
    </Part>
    <Part Type="straipsnis" Nr="14" Abbr="14 str." DocPartId="79b27b956c5442fdad4226ac82309f98" PartId="937cbfb53be747d78c7b3a21bc099c50">
      <Part Type="strDalis" Nr="1" Abbr="14 str. 1 d." DocPartId="e037a086335d43c2915c0cecf605ee3a" PartId="8550138f449842b08c84b7678c2e0c07"/>
      <Part Type="strDalis" Nr="2" Abbr="14 str. 2 d." DocPartId="38a58d97baff440e9f2977ff817de387" PartId="19508cb52d5742ccb82d5b4ab93be010"/>
      <Part Type="strDalis" Nr="3" Abbr="14 str. 3 d." DocPartId="d2ed94798d87411bb2408063b2af4b2b" PartId="fb3ef0af55c846228af09ab287cdf510"/>
    </Part>
    <Part Type="straipsnis" Nr="15" Abbr="15 str." DocPartId="6b88b13b4fed4b41ac2499ab36eba3fd" PartId="87dbd8aaed0a47679952df3acd902496">
      <Part Type="strDalis" Nr="1" Abbr="15 str. 1 d." DocPartId="e0b495fcf0764a50a767f03043c5c0ab" PartId="b963a874bbea4d65acb2bfb1839e49f5">
        <Part Type="strPunktas" Nr="a" Abbr="15 str. 1 d. a p." DocPartId="7b536ba824294442b7d03f15cf3c3353" PartId="7b706d83ecac4b1299e3f3f333f850d0"/>
        <Part Type="strPunktas" Nr="b" Abbr="15 str. 1 d. b p." DocPartId="d85b733ecb9b443cb0262e55f23011ad" PartId="6c055ecfc6814d97825f8f06d61b48c0"/>
        <Part Type="strPunktas" Nr="c" Abbr="15 str. 1 d. c p." DocPartId="c6a64e7485d44996a76753032fba5e1f" PartId="1fb13ddcc42b40f0a2fe2aa24e22c1c3"/>
        <Part Type="strPunktas" Nr="d" Abbr="15 str. 1 d. d p." DocPartId="d3366a5f11cb45e9bae7ff6606a029a0" PartId="a2da74cd51074fb8bb9493dde7880987"/>
        <Part Type="strPunktas" Nr="e" Abbr="15 str. 1 d. e p." DocPartId="f23c042148df41c095b114a6ff910565" PartId="a1e0ec4161b94e3da19d556f8740212a"/>
        <Part Type="strPunktas" Nr="f" Abbr="15 str. 1 d. f p." DocPartId="7c72145c28e34bde8773b300437bb462" PartId="30055c16d9564758a9d9a20250120b64"/>
        <Part Type="strPunktas" Nr="g" Abbr="15 str. 1 d. g p." DocPartId="c1cbb3fe7047436ba1761d703cf3e82e" PartId="dc8bed92384b458194f5afe511399128"/>
      </Part>
    </Part>
    <Part Type="pabaiga" DocPartId="5e92f3666f7e47e59d68cf1ca04868a5" PartId="b8e9dc51b1e04c1e8812ef56dfbff0ea"/>
  </Part>
  <Part Type="priedas" Abbr="pr." DocPartId="19046e259ff44d04b3abd36e86607dc5" PartId="a8017506bcd44e189a7bcec14f43d6f7">
    <Part Type="pabaiga" DocPartId="7ef8e38171674205945d94fe7ddf3e4e" PartId="9f9a91f5729448bc9b77df5dbd59b9f7"/>
  </Part>
  <Part Type="priedas" Abbr="pr." DocPartId="419c48a0e8404fcb96d526c5206650bb" PartId="8a4d6d7b1b2742d193051a157432d7db">
    <Part Type="pabaiga" DocPartId="701d0fef59c645ef9847e567121b9c11" PartId="0cced11be19c4de7a82692a8e8b3eb25"/>
  </Part>
</Parts>
</file>

<file path=customXml/itemProps1.xml><?xml version="1.0" encoding="utf-8"?>
<ds:datastoreItem xmlns:ds="http://schemas.openxmlformats.org/officeDocument/2006/customXml" ds:itemID="{E21309BE-7BE8-4BD3-9C79-2FDA5976E0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1245</Words>
  <Characters>8492</Characters>
  <Application>Microsoft Office Word</Application>
  <DocSecurity>4</DocSecurity>
  <Lines>217</Lines>
  <Paragraphs>111</Paragraphs>
  <ScaleCrop>false</ScaleCrop>
  <Company>Teisines informacijos centras</Company>
  <LinksUpToDate>false</LinksUpToDate>
  <CharactersWithSpaces>9626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2015-09-08T21:29:00Z</dcterms:created>
  <dc:creator>Sandra</dc:creator>
  <lastModifiedBy>Adlib User</lastModifiedBy>
  <dcterms:modified xsi:type="dcterms:W3CDTF">2015-09-08T21:29:00Z</dcterms:modified>
  <revision>2</revision>
  <dc:title>EUROPOS TARYBA</dc:title>
</coreProperties>
</file>