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343F" w14:textId="77777777" w:rsidR="00C905A2" w:rsidRDefault="009C61F1">
      <w:pPr>
        <w:jc w:val="center"/>
        <w:rPr>
          <w:lang w:eastAsia="lt-LT"/>
        </w:rPr>
      </w:pPr>
      <w:r>
        <w:rPr>
          <w:lang w:val="en-US"/>
        </w:rPr>
        <w:pict w14:anchorId="40FD34C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lang w:eastAsia="lt-LT"/>
        </w:rPr>
        <w:t>LIETUVOS RESPUBLIKOS SVEIKATOS APSAUGOS MINISTRO</w:t>
      </w:r>
    </w:p>
    <w:p w14:paraId="40FD3440" w14:textId="77777777" w:rsidR="00C905A2" w:rsidRDefault="009C61F1">
      <w:pPr>
        <w:jc w:val="center"/>
        <w:rPr>
          <w:spacing w:val="60"/>
          <w:lang w:eastAsia="lt-LT"/>
        </w:rPr>
      </w:pPr>
      <w:r>
        <w:rPr>
          <w:spacing w:val="60"/>
          <w:lang w:eastAsia="lt-LT"/>
        </w:rPr>
        <w:t>ĮSAKYMAS</w:t>
      </w:r>
    </w:p>
    <w:p w14:paraId="40FD3441" w14:textId="77777777" w:rsidR="00C905A2" w:rsidRDefault="00C905A2">
      <w:pPr>
        <w:jc w:val="center"/>
        <w:rPr>
          <w:lang w:eastAsia="lt-LT"/>
        </w:rPr>
      </w:pPr>
    </w:p>
    <w:p w14:paraId="40FD3442" w14:textId="77777777" w:rsidR="00C905A2" w:rsidRDefault="009C61F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DĖL LIETUVOS HIGIENOS NORMOS HN 30:2009 „INFRAGARSAS IR ŽEMO DAŽNIO GARSAI: RIBINIAI DYDŽIAI GYVENAMUOSIUOSE IR VISUOMENINĖS PASKIRTIES PASTATUOSE“ PATVIRTINIMO</w:t>
      </w:r>
    </w:p>
    <w:p w14:paraId="40FD3443" w14:textId="77777777" w:rsidR="00C905A2" w:rsidRDefault="00C905A2">
      <w:pPr>
        <w:jc w:val="center"/>
        <w:rPr>
          <w:lang w:eastAsia="lt-LT"/>
        </w:rPr>
      </w:pPr>
    </w:p>
    <w:p w14:paraId="40FD3444" w14:textId="77777777" w:rsidR="00C905A2" w:rsidRDefault="009C61F1">
      <w:pPr>
        <w:jc w:val="center"/>
        <w:rPr>
          <w:lang w:eastAsia="lt-LT"/>
        </w:rPr>
      </w:pPr>
      <w:r>
        <w:rPr>
          <w:lang w:eastAsia="lt-LT"/>
        </w:rPr>
        <w:t>2009 m. kovo 13 d. Nr. V-190</w:t>
      </w:r>
    </w:p>
    <w:p w14:paraId="40FD3445" w14:textId="77777777" w:rsidR="00C905A2" w:rsidRDefault="009C61F1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0FD3446" w14:textId="77777777" w:rsidR="00C905A2" w:rsidRDefault="00C905A2">
      <w:pPr>
        <w:rPr>
          <w:lang w:eastAsia="lt-LT"/>
        </w:rPr>
      </w:pPr>
    </w:p>
    <w:p w14:paraId="52DEDEDD" w14:textId="77777777" w:rsidR="009C61F1" w:rsidRDefault="009C61F1">
      <w:pPr>
        <w:rPr>
          <w:lang w:eastAsia="lt-LT"/>
        </w:rPr>
      </w:pPr>
    </w:p>
    <w:p w14:paraId="40FD3447" w14:textId="0B237B8A" w:rsidR="00C905A2" w:rsidRDefault="009C61F1">
      <w:pPr>
        <w:ind w:firstLine="567"/>
        <w:jc w:val="both"/>
        <w:rPr>
          <w:lang w:eastAsia="lt-LT"/>
        </w:rPr>
      </w:pPr>
      <w:r w:rsidRPr="009C61F1">
        <w:rPr>
          <w:lang w:eastAsia="lt-LT"/>
        </w:rPr>
        <w:t xml:space="preserve">Vadovaudamasis Lietuvos Respublikos triukšmo valdymo įstatymo (Žin., 2004, Nr. </w:t>
      </w:r>
      <w:r w:rsidRPr="009C61F1">
        <w:rPr>
          <w:lang w:eastAsia="lt-LT"/>
        </w:rPr>
        <w:t>164-5971</w:t>
      </w:r>
      <w:r w:rsidRPr="009C61F1">
        <w:rPr>
          <w:lang w:eastAsia="lt-LT"/>
        </w:rPr>
        <w:t>) 7 straipsnio 2 punktu ir siekdamas užtikrinti infr</w:t>
      </w:r>
      <w:r w:rsidRPr="009C61F1">
        <w:rPr>
          <w:lang w:eastAsia="lt-LT"/>
        </w:rPr>
        <w:t>agarso ir žemo dažnio garsų neigiamo poveikio</w:t>
      </w:r>
      <w:r w:rsidRPr="009C61F1">
        <w:rPr>
          <w:lang w:eastAsia="lt-LT"/>
        </w:rPr>
        <w:t xml:space="preserve"> </w:t>
      </w:r>
      <w:r>
        <w:rPr>
          <w:lang w:eastAsia="lt-LT"/>
        </w:rPr>
        <w:t>žmonių sveikatai valdymą:</w:t>
      </w:r>
    </w:p>
    <w:p w14:paraId="40FD3448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</w:t>
      </w:r>
      <w:r>
        <w:rPr>
          <w:spacing w:val="60"/>
          <w:lang w:eastAsia="lt-LT"/>
        </w:rPr>
        <w:t>Tvirtinu</w:t>
      </w:r>
      <w:r>
        <w:rPr>
          <w:lang w:eastAsia="lt-LT"/>
        </w:rPr>
        <w:t xml:space="preserve"> Lietuvos higienos normą HN 30:2009 „Infragarsas ir žemo dažnio garsai: ribiniai dydžiai gyvenamuosiuose ir visuomeninės paskirties pastatuose“ (pridedama).</w:t>
      </w:r>
    </w:p>
    <w:p w14:paraId="40FD3449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 </w:t>
      </w:r>
      <w:r>
        <w:rPr>
          <w:spacing w:val="60"/>
          <w:lang w:eastAsia="lt-LT"/>
        </w:rPr>
        <w:t>Nusta</w:t>
      </w:r>
      <w:r>
        <w:rPr>
          <w:spacing w:val="60"/>
          <w:lang w:eastAsia="lt-LT"/>
        </w:rPr>
        <w:t>ta</w:t>
      </w:r>
      <w:r>
        <w:rPr>
          <w:lang w:eastAsia="lt-LT"/>
        </w:rPr>
        <w:t>u, kad šis įsakymas įsigalioja nuo 2010 m. sausio 1 d.</w:t>
      </w:r>
    </w:p>
    <w:p w14:paraId="40FD344C" w14:textId="61EA824A" w:rsidR="00C905A2" w:rsidRDefault="009C61F1" w:rsidP="009C61F1">
      <w:pPr>
        <w:ind w:firstLine="567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 xml:space="preserve">. </w:t>
      </w:r>
      <w:r>
        <w:rPr>
          <w:spacing w:val="60"/>
          <w:lang w:eastAsia="lt-LT"/>
        </w:rPr>
        <w:t>Pavedu</w:t>
      </w:r>
      <w:r>
        <w:rPr>
          <w:lang w:eastAsia="lt-LT"/>
        </w:rPr>
        <w:t xml:space="preserve"> ministerijos sekretoriui pagal administruojamą sritį šio įsakymo vykdymo kontrolę.</w:t>
      </w:r>
    </w:p>
    <w:p w14:paraId="047EA3E1" w14:textId="685F8CCD" w:rsidR="009C61F1" w:rsidRDefault="009C61F1">
      <w:pPr>
        <w:tabs>
          <w:tab w:val="right" w:pos="9071"/>
        </w:tabs>
      </w:pPr>
    </w:p>
    <w:p w14:paraId="0125EED4" w14:textId="77777777" w:rsidR="009C61F1" w:rsidRDefault="009C61F1">
      <w:pPr>
        <w:tabs>
          <w:tab w:val="right" w:pos="9071"/>
        </w:tabs>
      </w:pPr>
    </w:p>
    <w:p w14:paraId="2747F96F" w14:textId="77777777" w:rsidR="009C61F1" w:rsidRDefault="009C61F1">
      <w:pPr>
        <w:tabs>
          <w:tab w:val="right" w:pos="9071"/>
        </w:tabs>
      </w:pPr>
    </w:p>
    <w:p w14:paraId="40FD344F" w14:textId="5D168A3B" w:rsidR="00C905A2" w:rsidRDefault="009C61F1" w:rsidP="009C61F1">
      <w:pPr>
        <w:tabs>
          <w:tab w:val="right" w:pos="9071"/>
        </w:tabs>
        <w:rPr>
          <w:lang w:eastAsia="lt-LT"/>
        </w:rPr>
      </w:pPr>
      <w:r>
        <w:rPr>
          <w:lang w:eastAsia="lt-LT"/>
        </w:rPr>
        <w:t>SVEIKATOS APSAUGOS MINISTRAS</w:t>
      </w:r>
      <w:r>
        <w:rPr>
          <w:lang w:eastAsia="lt-LT"/>
        </w:rPr>
        <w:tab/>
        <w:t>ALGIS ČAPLIKAS</w:t>
      </w:r>
    </w:p>
    <w:p w14:paraId="750E86D3" w14:textId="77777777" w:rsidR="009C61F1" w:rsidRDefault="009C61F1">
      <w:pPr>
        <w:ind w:firstLine="5102"/>
        <w:sectPr w:rsidR="009C61F1" w:rsidSect="009C61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1701" w:header="709" w:footer="709" w:gutter="0"/>
          <w:cols w:space="708"/>
          <w:titlePg/>
          <w:docGrid w:linePitch="326"/>
        </w:sectPr>
      </w:pPr>
    </w:p>
    <w:p w14:paraId="40FD3450" w14:textId="6F42E9C1" w:rsidR="00C905A2" w:rsidRDefault="009C61F1">
      <w:pPr>
        <w:ind w:firstLine="5102"/>
        <w:rPr>
          <w:lang w:eastAsia="lt-LT"/>
        </w:rPr>
      </w:pPr>
      <w:r>
        <w:rPr>
          <w:lang w:eastAsia="lt-LT"/>
        </w:rPr>
        <w:lastRenderedPageBreak/>
        <w:t>PATVIRTINTA</w:t>
      </w:r>
    </w:p>
    <w:p w14:paraId="40FD3451" w14:textId="77777777" w:rsidR="00C905A2" w:rsidRDefault="009C61F1">
      <w:pPr>
        <w:ind w:firstLine="5102"/>
        <w:rPr>
          <w:lang w:eastAsia="lt-LT"/>
        </w:rPr>
      </w:pPr>
      <w:r>
        <w:rPr>
          <w:lang w:eastAsia="lt-LT"/>
        </w:rPr>
        <w:t>Lietuvos Respubl</w:t>
      </w:r>
      <w:r>
        <w:rPr>
          <w:lang w:eastAsia="lt-LT"/>
        </w:rPr>
        <w:t xml:space="preserve">ikos sveikatos </w:t>
      </w:r>
    </w:p>
    <w:p w14:paraId="40FD3452" w14:textId="77777777" w:rsidR="00C905A2" w:rsidRDefault="009C61F1">
      <w:pPr>
        <w:ind w:firstLine="5102"/>
        <w:rPr>
          <w:lang w:eastAsia="lt-LT"/>
        </w:rPr>
      </w:pPr>
      <w:r>
        <w:rPr>
          <w:lang w:eastAsia="lt-LT"/>
        </w:rPr>
        <w:t xml:space="preserve">apsaugos ministro 2009 m. kovo 13 d. </w:t>
      </w:r>
    </w:p>
    <w:p w14:paraId="40FD3453" w14:textId="77777777" w:rsidR="00C905A2" w:rsidRDefault="009C61F1">
      <w:pPr>
        <w:ind w:firstLine="5102"/>
        <w:rPr>
          <w:lang w:eastAsia="lt-LT"/>
        </w:rPr>
      </w:pPr>
      <w:r>
        <w:rPr>
          <w:lang w:eastAsia="lt-LT"/>
        </w:rPr>
        <w:t>įsakymu Nr. V-190</w:t>
      </w:r>
    </w:p>
    <w:p w14:paraId="40FD3454" w14:textId="77777777" w:rsidR="00C905A2" w:rsidRDefault="00C905A2">
      <w:pPr>
        <w:rPr>
          <w:lang w:eastAsia="lt-LT"/>
        </w:rPr>
      </w:pPr>
    </w:p>
    <w:p w14:paraId="40FD3455" w14:textId="77777777" w:rsidR="00C905A2" w:rsidRDefault="009C61F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HIGIENOS NORMA HN 30:2009 „INFRAGARSAS IR ŽEMO DAŽNIO GARSAI: RIBINIAI DYDŽIAI GYVENAMUOSIUOSE IR VISUOMENINĖS PASKIRTIES PASTATUOSE“</w:t>
      </w:r>
    </w:p>
    <w:p w14:paraId="40FD3456" w14:textId="77777777" w:rsidR="00C905A2" w:rsidRDefault="00C905A2">
      <w:pPr>
        <w:jc w:val="center"/>
        <w:rPr>
          <w:bCs/>
          <w:lang w:eastAsia="lt-LT"/>
        </w:rPr>
      </w:pPr>
    </w:p>
    <w:p w14:paraId="40FD3457" w14:textId="77777777" w:rsidR="00C905A2" w:rsidRDefault="009C61F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</w:t>
      </w:r>
      <w:r>
        <w:rPr>
          <w:b/>
          <w:bCs/>
          <w:lang w:eastAsia="lt-LT"/>
        </w:rPr>
        <w:t xml:space="preserve">. </w:t>
      </w:r>
      <w:r>
        <w:rPr>
          <w:b/>
          <w:bCs/>
          <w:lang w:eastAsia="lt-LT"/>
        </w:rPr>
        <w:t>BENDROSIOS NUOSTATOS</w:t>
      </w:r>
    </w:p>
    <w:p w14:paraId="40FD3458" w14:textId="77777777" w:rsidR="00C905A2" w:rsidRDefault="00C905A2">
      <w:pPr>
        <w:rPr>
          <w:lang w:eastAsia="lt-LT"/>
        </w:rPr>
      </w:pPr>
    </w:p>
    <w:p w14:paraId="40FD3459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Ši </w:t>
      </w:r>
      <w:r>
        <w:rPr>
          <w:lang w:eastAsia="lt-LT"/>
        </w:rPr>
        <w:t>higienos norma nustato infragarso ir žemo dažnio garsų ribinius dydžius gyvenamuosiuose ir visuomeninės paskirties pastatuose ir taikoma infragarso ir žemo dažnio garsų poveikiui visuomenės sveikatai vertinti.</w:t>
      </w:r>
    </w:p>
    <w:p w14:paraId="40FD345A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Ši higienos norma yra privaloma juridin</w:t>
      </w:r>
      <w:r>
        <w:rPr>
          <w:lang w:eastAsia="lt-LT"/>
        </w:rPr>
        <w:t>iams ir fiziniams asmenims, projektuojantiems, statantiems bei eksploatuojantiems gyvenamuosius ir visuomeninės paskirties pastatus, rengiantiems miestų ir kitų gyvenviečių, gyvenamųjų rajonų, mikrorajonų planavimo, užstatymo ir rekonstravimo projektus, ku</w:t>
      </w:r>
      <w:r>
        <w:rPr>
          <w:lang w:eastAsia="lt-LT"/>
        </w:rPr>
        <w:t>riantiems technologijas, projektuojantiems, gaminantiems, eksploatuojantiems darbo priemones, technologinę ir inžinerinę įrangą, buitinius prietaisus, organizuojantiems muzikinius ir kitus masinius renginius, taip pat įstaigoms ir/ar institucijoms, vykdanč</w:t>
      </w:r>
      <w:r>
        <w:rPr>
          <w:lang w:eastAsia="lt-LT"/>
        </w:rPr>
        <w:t>ioms infragarso ir žemo dažnio garsų stebėjimus ir kontrolę.</w:t>
      </w:r>
    </w:p>
    <w:p w14:paraId="40FD345B" w14:textId="77777777" w:rsidR="00C905A2" w:rsidRDefault="009C61F1">
      <w:pPr>
        <w:ind w:firstLine="567"/>
        <w:jc w:val="both"/>
        <w:rPr>
          <w:lang w:eastAsia="lt-LT"/>
        </w:rPr>
      </w:pPr>
    </w:p>
    <w:p w14:paraId="40FD345C" w14:textId="77777777" w:rsidR="00C905A2" w:rsidRDefault="009C61F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II</w:t>
      </w:r>
      <w:r>
        <w:rPr>
          <w:b/>
          <w:bCs/>
          <w:lang w:eastAsia="lt-LT"/>
        </w:rPr>
        <w:t xml:space="preserve">. </w:t>
      </w:r>
      <w:r>
        <w:rPr>
          <w:b/>
          <w:bCs/>
          <w:lang w:eastAsia="lt-LT"/>
        </w:rPr>
        <w:t>NUORODOS</w:t>
      </w:r>
    </w:p>
    <w:p w14:paraId="40FD345D" w14:textId="77777777" w:rsidR="00C905A2" w:rsidRDefault="00C905A2">
      <w:pPr>
        <w:ind w:firstLine="567"/>
        <w:jc w:val="both"/>
        <w:rPr>
          <w:lang w:eastAsia="lt-LT"/>
        </w:rPr>
      </w:pPr>
    </w:p>
    <w:p w14:paraId="40FD345E" w14:textId="77777777" w:rsidR="00C905A2" w:rsidRPr="009C61F1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 xml:space="preserve">. Teisės aktai ir dokumentai, į kuriuos pateiktos nuorodos </w:t>
      </w:r>
      <w:r w:rsidRPr="009C61F1">
        <w:rPr>
          <w:lang w:eastAsia="lt-LT"/>
        </w:rPr>
        <w:t>šioje higienos normoje:</w:t>
      </w:r>
    </w:p>
    <w:p w14:paraId="40FD345F" w14:textId="317D69BA" w:rsidR="00C905A2" w:rsidRPr="009C61F1" w:rsidRDefault="009C61F1">
      <w:pPr>
        <w:ind w:firstLine="567"/>
        <w:jc w:val="both"/>
        <w:rPr>
          <w:lang w:eastAsia="lt-LT"/>
        </w:rPr>
      </w:pPr>
      <w:r w:rsidRPr="009C61F1">
        <w:rPr>
          <w:lang w:eastAsia="lt-LT"/>
        </w:rPr>
        <w:t>3.1</w:t>
      </w:r>
      <w:r w:rsidRPr="009C61F1">
        <w:rPr>
          <w:lang w:eastAsia="lt-LT"/>
        </w:rPr>
        <w:t xml:space="preserve">. Lietuvos Respublikos triukšmo valdymo įstatymas (Žin., 2004, Nr. </w:t>
      </w:r>
      <w:r w:rsidRPr="009C61F1">
        <w:rPr>
          <w:lang w:eastAsia="lt-LT"/>
        </w:rPr>
        <w:t>164-5971</w:t>
      </w:r>
      <w:r w:rsidRPr="009C61F1">
        <w:rPr>
          <w:lang w:eastAsia="lt-LT"/>
        </w:rPr>
        <w:t>);</w:t>
      </w:r>
    </w:p>
    <w:p w14:paraId="40FD3460" w14:textId="49ED7B43" w:rsidR="00C905A2" w:rsidRPr="009C61F1" w:rsidRDefault="009C61F1">
      <w:pPr>
        <w:ind w:firstLine="567"/>
        <w:jc w:val="both"/>
        <w:rPr>
          <w:lang w:eastAsia="lt-LT"/>
        </w:rPr>
      </w:pPr>
      <w:r w:rsidRPr="009C61F1">
        <w:rPr>
          <w:lang w:eastAsia="lt-LT"/>
        </w:rPr>
        <w:t>3.2</w:t>
      </w:r>
      <w:r w:rsidRPr="009C61F1">
        <w:rPr>
          <w:lang w:eastAsia="lt-LT"/>
        </w:rPr>
        <w:t>. Lietuvos Respublikos aplinkos ministro 2003 m. birželio 11 d. įsakymas Nr. 289 „Dėl Statybos techninio reglamento STR 1.01.09:2003 „Statinių klasifikavimas pagal jų naudoj</w:t>
      </w:r>
      <w:r w:rsidRPr="009C61F1">
        <w:rPr>
          <w:lang w:eastAsia="lt-LT"/>
        </w:rPr>
        <w:t xml:space="preserve">imo paskirtį“ patvirtinimo“ (Žin., 2003, Nr. </w:t>
      </w:r>
      <w:r w:rsidRPr="009C61F1">
        <w:rPr>
          <w:lang w:eastAsia="lt-LT"/>
        </w:rPr>
        <w:t>58-2611</w:t>
      </w:r>
      <w:r w:rsidRPr="009C61F1">
        <w:rPr>
          <w:lang w:eastAsia="lt-LT"/>
        </w:rPr>
        <w:t>);</w:t>
      </w:r>
    </w:p>
    <w:p w14:paraId="40FD3461" w14:textId="77777777" w:rsidR="00C905A2" w:rsidRPr="009C61F1" w:rsidRDefault="009C61F1">
      <w:pPr>
        <w:ind w:firstLine="567"/>
        <w:jc w:val="both"/>
        <w:rPr>
          <w:lang w:eastAsia="lt-LT"/>
        </w:rPr>
      </w:pPr>
      <w:r w:rsidRPr="009C61F1">
        <w:rPr>
          <w:lang w:eastAsia="lt-LT"/>
        </w:rPr>
        <w:t>3.3</w:t>
      </w:r>
      <w:r w:rsidRPr="009C61F1">
        <w:rPr>
          <w:lang w:eastAsia="lt-LT"/>
        </w:rPr>
        <w:t>. LST ISO 1996-1:2005 Akustika. Aplinkos triukšmo aprašymas, matavimas ir įvertinimas. 1 dalis. Pagrindiniai dydžia</w:t>
      </w:r>
      <w:r w:rsidRPr="009C61F1">
        <w:rPr>
          <w:lang w:eastAsia="lt-LT"/>
        </w:rPr>
        <w:t>i ir įvertinimo tvarka (tapatus ISO 1996-1:2003);</w:t>
      </w:r>
    </w:p>
    <w:p w14:paraId="40FD3462" w14:textId="77777777" w:rsidR="00C905A2" w:rsidRDefault="009C61F1">
      <w:pPr>
        <w:ind w:firstLine="567"/>
        <w:jc w:val="both"/>
        <w:rPr>
          <w:lang w:eastAsia="lt-LT"/>
        </w:rPr>
      </w:pPr>
      <w:r w:rsidRPr="009C61F1">
        <w:rPr>
          <w:lang w:eastAsia="lt-LT"/>
        </w:rPr>
        <w:t>3.4</w:t>
      </w:r>
      <w:r w:rsidRPr="009C61F1">
        <w:rPr>
          <w:lang w:eastAsia="lt-LT"/>
        </w:rPr>
        <w:t>. LST ISO 1996-2:2008 Akustika. Aplinkos triukšmo apibūdinimas</w:t>
      </w:r>
      <w:r>
        <w:rPr>
          <w:lang w:eastAsia="lt-LT"/>
        </w:rPr>
        <w:t>, matavimas ir įvertinimas. 2 dalis. Aplinkos triukšmo lygių nustatymas (tapatus ISO 1996-2:2007);</w:t>
      </w:r>
    </w:p>
    <w:p w14:paraId="40FD3463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3.5</w:t>
      </w:r>
      <w:r>
        <w:rPr>
          <w:lang w:eastAsia="lt-LT"/>
        </w:rPr>
        <w:t>. LST EN 61672-1:2003 „Elektroa</w:t>
      </w:r>
      <w:r>
        <w:rPr>
          <w:lang w:eastAsia="lt-LT"/>
        </w:rPr>
        <w:t>kustika. Garso lygio matuokliai. 1 dalis. Techniniai reikalavimai“ (IEC 61672-1:2002).</w:t>
      </w:r>
    </w:p>
    <w:p w14:paraId="40FD3464" w14:textId="77777777" w:rsidR="00C905A2" w:rsidRDefault="009C61F1">
      <w:pPr>
        <w:ind w:firstLine="567"/>
        <w:jc w:val="both"/>
        <w:rPr>
          <w:lang w:eastAsia="lt-LT"/>
        </w:rPr>
      </w:pPr>
    </w:p>
    <w:p w14:paraId="40FD3465" w14:textId="77777777" w:rsidR="00C905A2" w:rsidRDefault="009C61F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III</w:t>
      </w:r>
      <w:r>
        <w:rPr>
          <w:b/>
          <w:bCs/>
          <w:lang w:eastAsia="lt-LT"/>
        </w:rPr>
        <w:t xml:space="preserve">. </w:t>
      </w:r>
      <w:r>
        <w:rPr>
          <w:b/>
          <w:bCs/>
          <w:lang w:eastAsia="lt-LT"/>
        </w:rPr>
        <w:t>SĄVOKOS IR JŲ APIBRĖŽIMAI</w:t>
      </w:r>
    </w:p>
    <w:p w14:paraId="40FD3466" w14:textId="77777777" w:rsidR="00C905A2" w:rsidRDefault="00C905A2">
      <w:pPr>
        <w:ind w:firstLine="567"/>
        <w:jc w:val="both"/>
        <w:rPr>
          <w:lang w:eastAsia="lt-LT"/>
        </w:rPr>
      </w:pPr>
    </w:p>
    <w:p w14:paraId="40FD3467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4</w:t>
      </w:r>
      <w:r>
        <w:rPr>
          <w:lang w:eastAsia="lt-LT"/>
        </w:rPr>
        <w:t>. Šioje higienos normoje vartojamos sąvokos ir jų apibrėžimai:</w:t>
      </w:r>
    </w:p>
    <w:p w14:paraId="40FD3468" w14:textId="77777777" w:rsidR="00C905A2" w:rsidRDefault="009C61F1">
      <w:pPr>
        <w:ind w:firstLine="567"/>
        <w:jc w:val="both"/>
        <w:rPr>
          <w:lang w:eastAsia="lt-LT"/>
        </w:rPr>
      </w:pPr>
      <w:r>
        <w:rPr>
          <w:b/>
          <w:bCs/>
          <w:lang w:eastAsia="lt-LT"/>
        </w:rPr>
        <w:t>didžiausiasis laikinis svertinis ir dažninis svertinis garso</w:t>
      </w:r>
      <w:r>
        <w:rPr>
          <w:b/>
          <w:bCs/>
          <w:lang w:eastAsia="lt-LT"/>
        </w:rPr>
        <w:t xml:space="preserve"> slėgio lygis </w:t>
      </w:r>
      <w:r>
        <w:rPr>
          <w:lang w:eastAsia="lt-LT"/>
        </w:rPr>
        <w:t>– didžiausias laikinis svertinis ir dažninis svertinis garso slėgio lygis nustatytame laiko intervale [3.3];</w:t>
      </w:r>
    </w:p>
    <w:p w14:paraId="40FD3469" w14:textId="77777777" w:rsidR="00C905A2" w:rsidRDefault="009C61F1">
      <w:pPr>
        <w:ind w:firstLine="567"/>
        <w:jc w:val="both"/>
        <w:rPr>
          <w:lang w:eastAsia="lt-LT"/>
        </w:rPr>
      </w:pPr>
      <w:r>
        <w:rPr>
          <w:b/>
          <w:bCs/>
          <w:lang w:eastAsia="lt-LT"/>
        </w:rPr>
        <w:t xml:space="preserve">ekvivalentinis nuolatinis garso slėgio lygis </w:t>
      </w:r>
      <w:r>
        <w:rPr>
          <w:lang w:eastAsia="lt-LT"/>
        </w:rPr>
        <w:t>– garso slėgio kvadrato kvadratinės šaknies vidurkio kvadrato nustatytame laiko interval</w:t>
      </w:r>
      <w:r>
        <w:rPr>
          <w:lang w:eastAsia="lt-LT"/>
        </w:rPr>
        <w:t>e ir atskaitos garso slėgio kvadrato santykio dešimteriopas dešimtainis logaritmas, kai garso slėgis gaunamas taikant standartinę dažnių svertį [3.3]:</w:t>
      </w:r>
    </w:p>
    <w:p w14:paraId="40FD346A" w14:textId="77777777" w:rsidR="00C905A2" w:rsidRDefault="00C905A2">
      <w:pPr>
        <w:ind w:firstLine="567"/>
        <w:jc w:val="both"/>
        <w:rPr>
          <w:lang w:eastAsia="lt-LT"/>
        </w:rPr>
      </w:pPr>
    </w:p>
    <w:p w14:paraId="40FD346B" w14:textId="77777777" w:rsidR="00C905A2" w:rsidRDefault="009C61F1">
      <w:pPr>
        <w:ind w:firstLine="567"/>
        <w:jc w:val="both"/>
        <w:rPr>
          <w:lang w:val="fr-FR" w:eastAsia="lt-LT"/>
        </w:rPr>
      </w:pPr>
      <w:r>
        <w:rPr>
          <w:position w:val="-32"/>
          <w:lang w:eastAsia="lt-LT"/>
        </w:rPr>
        <w:object w:dxaOrig="2565" w:dyaOrig="735" w14:anchorId="40FD34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8.25pt;height:36.75pt" o:ole="">
            <v:imagedata r:id="rId16" o:title=""/>
          </v:shape>
          <o:OLEObject Type="Embed" ProgID="Equation.3" ShapeID="_x0000_i1026" DrawAspect="Content" ObjectID="_1578375080" r:id="rId17"/>
        </w:object>
      </w:r>
      <w:proofErr w:type="spellStart"/>
      <w:r>
        <w:rPr>
          <w:vanish/>
          <w:lang w:eastAsia="lt-LT"/>
        </w:rPr>
        <w:t>LeqT</w:t>
      </w:r>
      <w:proofErr w:type="spellEnd"/>
      <w:r>
        <w:rPr>
          <w:vanish/>
          <w:lang w:eastAsia="lt-LT"/>
        </w:rPr>
        <w:t xml:space="preserve"> </w:t>
      </w:r>
      <w:r>
        <w:rPr>
          <w:vanish/>
          <w:lang w:val="fr-FR" w:eastAsia="lt-LT"/>
        </w:rPr>
        <w:t>= 10 lg [1/T integralas(T) ((p^2(t)) / (p(0)^2)) dt], dB</w:t>
      </w:r>
    </w:p>
    <w:p w14:paraId="40FD346C" w14:textId="77777777" w:rsidR="00C905A2" w:rsidRDefault="00C905A2">
      <w:pPr>
        <w:ind w:firstLine="567"/>
        <w:jc w:val="both"/>
        <w:rPr>
          <w:lang w:eastAsia="lt-LT"/>
        </w:rPr>
      </w:pPr>
    </w:p>
    <w:p w14:paraId="40FD346D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čia:</w:t>
      </w:r>
    </w:p>
    <w:p w14:paraId="40FD346E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p(t) – </w:t>
      </w:r>
      <w:r>
        <w:rPr>
          <w:lang w:eastAsia="lt-LT"/>
        </w:rPr>
        <w:t>akimirkinis garso slėgis laiko momentu t;</w:t>
      </w:r>
    </w:p>
    <w:p w14:paraId="40FD346F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lastRenderedPageBreak/>
        <w:t>p</w:t>
      </w:r>
      <w:r>
        <w:rPr>
          <w:vertAlign w:val="subscript"/>
          <w:lang w:eastAsia="lt-LT"/>
        </w:rPr>
        <w:t>0</w:t>
      </w:r>
      <w:r>
        <w:rPr>
          <w:lang w:eastAsia="lt-LT"/>
        </w:rPr>
        <w:t xml:space="preserve"> – atskaitos garso slėgis (lygus 20 ?Pa);</w:t>
      </w:r>
    </w:p>
    <w:p w14:paraId="40FD3470" w14:textId="77777777" w:rsidR="00C905A2" w:rsidRDefault="009C61F1">
      <w:pPr>
        <w:ind w:firstLine="567"/>
        <w:jc w:val="both"/>
        <w:rPr>
          <w:lang w:eastAsia="lt-LT"/>
        </w:rPr>
      </w:pPr>
      <w:r>
        <w:rPr>
          <w:b/>
          <w:bCs/>
          <w:lang w:eastAsia="lt-LT"/>
        </w:rPr>
        <w:t xml:space="preserve">gyvenamasis pastatas (namas) </w:t>
      </w:r>
      <w:r>
        <w:rPr>
          <w:lang w:eastAsia="lt-LT"/>
        </w:rPr>
        <w:t>– pastatas, kurio visas naudingasis plotas, didžioji jo dalis ar bent pusė naudingojo ploto yra gyvenamosios patalpos [3.2];</w:t>
      </w:r>
    </w:p>
    <w:p w14:paraId="40FD3471" w14:textId="77777777" w:rsidR="00C905A2" w:rsidRDefault="009C61F1">
      <w:pPr>
        <w:ind w:firstLine="567"/>
        <w:jc w:val="both"/>
        <w:rPr>
          <w:lang w:eastAsia="lt-LT"/>
        </w:rPr>
      </w:pPr>
      <w:r>
        <w:rPr>
          <w:b/>
          <w:bCs/>
          <w:lang w:eastAsia="lt-LT"/>
        </w:rPr>
        <w:t xml:space="preserve">infragarsas </w:t>
      </w:r>
      <w:r>
        <w:rPr>
          <w:lang w:eastAsia="lt-LT"/>
        </w:rPr>
        <w:t xml:space="preserve">– </w:t>
      </w:r>
      <w:r>
        <w:rPr>
          <w:lang w:eastAsia="lt-LT"/>
        </w:rPr>
        <w:t>mažesnis nei 16 Hz dažnio garsas;</w:t>
      </w:r>
    </w:p>
    <w:p w14:paraId="40FD3472" w14:textId="77777777" w:rsidR="00C905A2" w:rsidRDefault="009C61F1">
      <w:pPr>
        <w:ind w:firstLine="567"/>
        <w:jc w:val="both"/>
        <w:rPr>
          <w:lang w:eastAsia="lt-LT"/>
        </w:rPr>
      </w:pPr>
      <w:r>
        <w:rPr>
          <w:b/>
          <w:bCs/>
          <w:lang w:eastAsia="lt-LT"/>
        </w:rPr>
        <w:t>įvertintasis garso slėgio lygis trečdalio oktavos dažnių juostos vidutiniuose dažniuose (L</w:t>
      </w:r>
      <w:r>
        <w:rPr>
          <w:b/>
          <w:bCs/>
          <w:vertAlign w:val="subscript"/>
          <w:lang w:eastAsia="lt-LT"/>
        </w:rPr>
        <w:t>1/3f,R</w:t>
      </w:r>
      <w:r>
        <w:rPr>
          <w:b/>
          <w:bCs/>
          <w:lang w:eastAsia="lt-LT"/>
        </w:rPr>
        <w:t xml:space="preserve">) </w:t>
      </w:r>
      <w:r>
        <w:rPr>
          <w:lang w:eastAsia="lt-LT"/>
        </w:rPr>
        <w:t>– ekvivalentinis nuolatinis garso slėgio lygis trečdalio oktavos dažnių juostos vidutiniuose dažniuose atskaitos laiko inter</w:t>
      </w:r>
      <w:r>
        <w:rPr>
          <w:lang w:eastAsia="lt-LT"/>
        </w:rPr>
        <w:t>vale. Įvertintasis garso slėgio lygis trečdalio oktavos dažnių juostos vidutiniuose dažniuose apskaičiuojamas pagal formulę:</w:t>
      </w:r>
    </w:p>
    <w:p w14:paraId="40FD3473" w14:textId="77777777" w:rsidR="00C905A2" w:rsidRDefault="00C905A2">
      <w:pPr>
        <w:ind w:firstLine="567"/>
        <w:jc w:val="both"/>
        <w:rPr>
          <w:lang w:eastAsia="lt-LT"/>
        </w:rPr>
      </w:pPr>
    </w:p>
    <w:p w14:paraId="40FD3474" w14:textId="77777777" w:rsidR="00C905A2" w:rsidRDefault="009C61F1">
      <w:pPr>
        <w:ind w:firstLine="567"/>
        <w:jc w:val="both"/>
        <w:rPr>
          <w:lang w:val="fr-FR" w:eastAsia="lt-LT"/>
        </w:rPr>
      </w:pPr>
      <w:r>
        <w:rPr>
          <w:position w:val="-26"/>
          <w:lang w:eastAsia="lt-LT"/>
        </w:rPr>
        <w:object w:dxaOrig="2805" w:dyaOrig="600" w14:anchorId="40FD34CB">
          <v:shape id="_x0000_i1027" type="#_x0000_t75" style="width:140.25pt;height:30pt" o:ole="">
            <v:imagedata r:id="rId18" o:title=""/>
          </v:shape>
          <o:OLEObject Type="Embed" ProgID="Equation.3" ShapeID="_x0000_i1027" DrawAspect="Content" ObjectID="_1578375081" r:id="rId19"/>
        </w:object>
      </w:r>
      <w:r>
        <w:rPr>
          <w:vanish/>
          <w:lang w:eastAsia="lt-LT"/>
        </w:rPr>
        <w:t xml:space="preserve">L1/3f,R </w:t>
      </w:r>
      <w:r>
        <w:rPr>
          <w:vanish/>
          <w:lang w:val="fr-FR" w:eastAsia="lt-LT"/>
        </w:rPr>
        <w:t>= L1/3f,eq + 10 lg (Te / TR), dB</w:t>
      </w:r>
    </w:p>
    <w:p w14:paraId="40FD3475" w14:textId="77777777" w:rsidR="00C905A2" w:rsidRDefault="00C905A2">
      <w:pPr>
        <w:ind w:firstLine="567"/>
        <w:jc w:val="both"/>
        <w:rPr>
          <w:lang w:eastAsia="lt-LT"/>
        </w:rPr>
      </w:pPr>
    </w:p>
    <w:p w14:paraId="40FD3476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čia:</w:t>
      </w:r>
    </w:p>
    <w:p w14:paraId="40FD3477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L</w:t>
      </w:r>
      <w:r>
        <w:rPr>
          <w:vertAlign w:val="subscript"/>
          <w:lang w:eastAsia="lt-LT"/>
        </w:rPr>
        <w:t>1/3f,eq</w:t>
      </w:r>
      <w:r>
        <w:rPr>
          <w:lang w:eastAsia="lt-LT"/>
        </w:rPr>
        <w:t xml:space="preserve"> – ekvivalentinis nuolatinis garso slėgio lygis trečd</w:t>
      </w:r>
      <w:r>
        <w:rPr>
          <w:lang w:eastAsia="lt-LT"/>
        </w:rPr>
        <w:t>alio oktavos dažnių juostos vidutiniuose dažniuose;</w:t>
      </w:r>
    </w:p>
    <w:p w14:paraId="40FD3478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T</w:t>
      </w:r>
      <w:r>
        <w:rPr>
          <w:vertAlign w:val="subscript"/>
          <w:lang w:eastAsia="lt-LT"/>
        </w:rPr>
        <w:t>e</w:t>
      </w:r>
      <w:r>
        <w:rPr>
          <w:lang w:eastAsia="lt-LT"/>
        </w:rPr>
        <w:t xml:space="preserve"> – bendroji infragarso ir žemo dažnio garsų poveikio trukmė;</w:t>
      </w:r>
    </w:p>
    <w:p w14:paraId="40FD3479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T</w:t>
      </w:r>
      <w:r>
        <w:rPr>
          <w:vertAlign w:val="subscript"/>
          <w:lang w:eastAsia="lt-LT"/>
        </w:rPr>
        <w:t>R</w:t>
      </w:r>
      <w:r>
        <w:rPr>
          <w:lang w:eastAsia="lt-LT"/>
        </w:rPr>
        <w:t xml:space="preserve"> – įvertinimo laiko intervalas.</w:t>
      </w:r>
    </w:p>
    <w:p w14:paraId="40FD347A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Dienos ir vakaro metu (nuo 6 iki 22 val.) įvertinimo laiko intervalas T</w:t>
      </w:r>
      <w:r>
        <w:rPr>
          <w:vertAlign w:val="subscript"/>
          <w:lang w:eastAsia="lt-LT"/>
        </w:rPr>
        <w:t>R</w:t>
      </w:r>
      <w:r>
        <w:rPr>
          <w:lang w:eastAsia="lt-LT"/>
        </w:rPr>
        <w:t xml:space="preserve"> lygus 16 h.</w:t>
      </w:r>
    </w:p>
    <w:p w14:paraId="40FD347B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Nakties metu (nuo 22 i</w:t>
      </w:r>
      <w:r>
        <w:rPr>
          <w:lang w:eastAsia="lt-LT"/>
        </w:rPr>
        <w:t>ki 6 val.) įvertinimo laiko intervalas T</w:t>
      </w:r>
      <w:r>
        <w:rPr>
          <w:vertAlign w:val="subscript"/>
          <w:lang w:eastAsia="lt-LT"/>
        </w:rPr>
        <w:t>R</w:t>
      </w:r>
      <w:r>
        <w:rPr>
          <w:lang w:eastAsia="lt-LT"/>
        </w:rPr>
        <w:t xml:space="preserve"> lygus 8 h.</w:t>
      </w:r>
    </w:p>
    <w:p w14:paraId="40FD347C" w14:textId="77777777" w:rsidR="00C905A2" w:rsidRDefault="009C61F1">
      <w:pPr>
        <w:ind w:firstLine="567"/>
        <w:jc w:val="both"/>
        <w:rPr>
          <w:lang w:eastAsia="lt-LT"/>
        </w:rPr>
      </w:pPr>
      <w:r>
        <w:rPr>
          <w:b/>
          <w:bCs/>
          <w:lang w:eastAsia="lt-LT"/>
        </w:rPr>
        <w:t>L</w:t>
      </w:r>
      <w:r>
        <w:rPr>
          <w:b/>
          <w:bCs/>
          <w:vertAlign w:val="subscript"/>
          <w:lang w:eastAsia="lt-LT"/>
        </w:rPr>
        <w:t>AeqT</w:t>
      </w:r>
      <w:r>
        <w:rPr>
          <w:b/>
          <w:bCs/>
          <w:lang w:eastAsia="lt-LT"/>
        </w:rPr>
        <w:t xml:space="preserve"> </w:t>
      </w:r>
      <w:r>
        <w:rPr>
          <w:lang w:eastAsia="lt-LT"/>
        </w:rPr>
        <w:t>– ekvivalentinis nuolatinis A svertinis garso slėgio lygis;</w:t>
      </w:r>
    </w:p>
    <w:p w14:paraId="40FD347D" w14:textId="77777777" w:rsidR="00C905A2" w:rsidRDefault="009C61F1">
      <w:pPr>
        <w:ind w:firstLine="567"/>
        <w:jc w:val="both"/>
        <w:rPr>
          <w:lang w:eastAsia="lt-LT"/>
        </w:rPr>
      </w:pPr>
      <w:r>
        <w:rPr>
          <w:b/>
          <w:bCs/>
          <w:lang w:eastAsia="lt-LT"/>
        </w:rPr>
        <w:t>L</w:t>
      </w:r>
      <w:r>
        <w:rPr>
          <w:b/>
          <w:bCs/>
          <w:vertAlign w:val="subscript"/>
          <w:lang w:eastAsia="lt-LT"/>
        </w:rPr>
        <w:t>AFmax</w:t>
      </w:r>
      <w:r>
        <w:rPr>
          <w:b/>
          <w:bCs/>
          <w:lang w:eastAsia="lt-LT"/>
        </w:rPr>
        <w:t xml:space="preserve"> </w:t>
      </w:r>
      <w:r>
        <w:rPr>
          <w:lang w:eastAsia="lt-LT"/>
        </w:rPr>
        <w:t>– didžiausiasis F laikinis svertinis ir A dažninis svertinis garso slėgio lygis;</w:t>
      </w:r>
    </w:p>
    <w:p w14:paraId="40FD347E" w14:textId="77777777" w:rsidR="00C905A2" w:rsidRDefault="009C61F1">
      <w:pPr>
        <w:ind w:firstLine="567"/>
        <w:jc w:val="both"/>
        <w:rPr>
          <w:lang w:eastAsia="lt-LT"/>
        </w:rPr>
      </w:pPr>
      <w:r>
        <w:rPr>
          <w:b/>
          <w:bCs/>
          <w:lang w:eastAsia="lt-LT"/>
        </w:rPr>
        <w:t>L</w:t>
      </w:r>
      <w:r>
        <w:rPr>
          <w:b/>
          <w:bCs/>
          <w:vertAlign w:val="subscript"/>
          <w:lang w:eastAsia="lt-LT"/>
        </w:rPr>
        <w:t>CeqT</w:t>
      </w:r>
      <w:r>
        <w:rPr>
          <w:b/>
          <w:bCs/>
          <w:lang w:eastAsia="lt-LT"/>
        </w:rPr>
        <w:t xml:space="preserve"> </w:t>
      </w:r>
      <w:r>
        <w:rPr>
          <w:lang w:eastAsia="lt-LT"/>
        </w:rPr>
        <w:t xml:space="preserve">– ekvivalentinis nuolatinis C svertinis </w:t>
      </w:r>
      <w:r>
        <w:rPr>
          <w:lang w:eastAsia="lt-LT"/>
        </w:rPr>
        <w:t>garso slėgio lygis;</w:t>
      </w:r>
    </w:p>
    <w:p w14:paraId="40FD347F" w14:textId="77777777" w:rsidR="00C905A2" w:rsidRDefault="009C61F1">
      <w:pPr>
        <w:ind w:firstLine="567"/>
        <w:jc w:val="both"/>
        <w:rPr>
          <w:lang w:eastAsia="lt-LT"/>
        </w:rPr>
      </w:pPr>
      <w:r>
        <w:rPr>
          <w:b/>
          <w:bCs/>
          <w:lang w:eastAsia="lt-LT"/>
        </w:rPr>
        <w:t>L</w:t>
      </w:r>
      <w:r>
        <w:rPr>
          <w:b/>
          <w:bCs/>
          <w:vertAlign w:val="subscript"/>
          <w:lang w:eastAsia="lt-LT"/>
        </w:rPr>
        <w:t>CFmax</w:t>
      </w:r>
      <w:r>
        <w:rPr>
          <w:b/>
          <w:bCs/>
          <w:lang w:eastAsia="lt-LT"/>
        </w:rPr>
        <w:t xml:space="preserve"> </w:t>
      </w:r>
      <w:r>
        <w:rPr>
          <w:lang w:eastAsia="lt-LT"/>
        </w:rPr>
        <w:t>– didžiausiasis F laikinis svertinis ir C dažninis svertinis garso slėgio lygis;</w:t>
      </w:r>
    </w:p>
    <w:p w14:paraId="40FD3480" w14:textId="77777777" w:rsidR="00C905A2" w:rsidRDefault="009C61F1">
      <w:pPr>
        <w:ind w:firstLine="567"/>
        <w:jc w:val="both"/>
        <w:rPr>
          <w:lang w:eastAsia="lt-LT"/>
        </w:rPr>
      </w:pPr>
      <w:r>
        <w:rPr>
          <w:b/>
          <w:bCs/>
          <w:lang w:eastAsia="lt-LT"/>
        </w:rPr>
        <w:t xml:space="preserve">oktava </w:t>
      </w:r>
      <w:r>
        <w:rPr>
          <w:lang w:eastAsia="lt-LT"/>
        </w:rPr>
        <w:t>– dažnių intervalas, kurio viršutinė riba dvigubai didesnė už žemutinę;</w:t>
      </w:r>
    </w:p>
    <w:p w14:paraId="40FD3481" w14:textId="77777777" w:rsidR="00C905A2" w:rsidRDefault="009C61F1">
      <w:pPr>
        <w:ind w:firstLine="567"/>
        <w:jc w:val="both"/>
        <w:rPr>
          <w:lang w:eastAsia="lt-LT"/>
        </w:rPr>
      </w:pPr>
      <w:r>
        <w:rPr>
          <w:b/>
          <w:bCs/>
          <w:lang w:eastAsia="lt-LT"/>
        </w:rPr>
        <w:t xml:space="preserve">toninis garsas </w:t>
      </w:r>
      <w:r>
        <w:rPr>
          <w:lang w:eastAsia="lt-LT"/>
        </w:rPr>
        <w:t>– garsas, kuriame, be visuminio garso, yra girdimas vi</w:t>
      </w:r>
      <w:r>
        <w:rPr>
          <w:lang w:eastAsia="lt-LT"/>
        </w:rPr>
        <w:t>eno dažnio sandas arba siaurajuostis sandas [3.4];</w:t>
      </w:r>
    </w:p>
    <w:p w14:paraId="40FD3482" w14:textId="77777777" w:rsidR="00C905A2" w:rsidRDefault="009C61F1">
      <w:pPr>
        <w:ind w:firstLine="567"/>
        <w:jc w:val="both"/>
        <w:rPr>
          <w:lang w:eastAsia="lt-LT"/>
        </w:rPr>
      </w:pPr>
      <w:r>
        <w:rPr>
          <w:b/>
          <w:bCs/>
          <w:lang w:eastAsia="lt-LT"/>
        </w:rPr>
        <w:t xml:space="preserve">visuomeninės paskirties pastatas </w:t>
      </w:r>
      <w:r>
        <w:rPr>
          <w:lang w:eastAsia="lt-LT"/>
        </w:rPr>
        <w:t>– pastatas, skirtas visuomenės poreikiams tenkinti ir atsižvelgiant į STR 1.01.09:2003 [3.2] nuostatas priklausantis viešbučių, administracinės, prekybos, paslaugų, maitini</w:t>
      </w:r>
      <w:r>
        <w:rPr>
          <w:lang w:eastAsia="lt-LT"/>
        </w:rPr>
        <w:t>mo, transporto, kultūros, mokslo, gydymo, poilsio, sporto ar religinės paskirties pastatų pogrupiui;</w:t>
      </w:r>
    </w:p>
    <w:p w14:paraId="40FD3483" w14:textId="77777777" w:rsidR="00C905A2" w:rsidRDefault="009C61F1">
      <w:pPr>
        <w:ind w:firstLine="567"/>
        <w:jc w:val="both"/>
        <w:rPr>
          <w:lang w:eastAsia="lt-LT"/>
        </w:rPr>
      </w:pPr>
      <w:r>
        <w:rPr>
          <w:b/>
          <w:bCs/>
          <w:lang w:eastAsia="lt-LT"/>
        </w:rPr>
        <w:t xml:space="preserve">žemo dažnio garsas </w:t>
      </w:r>
      <w:r>
        <w:rPr>
          <w:lang w:eastAsia="lt-LT"/>
        </w:rPr>
        <w:t>– 16–200 Hz intervalo dažnio garsas [3.4].</w:t>
      </w:r>
    </w:p>
    <w:p w14:paraId="40FD3484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Kitos sąvokos ir jų apibrėžimai turi tą pačią reikšmę, kaip ir Lietuvos Respublikos triukšmo </w:t>
      </w:r>
      <w:r>
        <w:rPr>
          <w:lang w:eastAsia="lt-LT"/>
        </w:rPr>
        <w:t>valdymo įstatyme [3.1].</w:t>
      </w:r>
    </w:p>
    <w:p w14:paraId="40FD3485" w14:textId="77777777" w:rsidR="00C905A2" w:rsidRDefault="009C61F1">
      <w:pPr>
        <w:ind w:firstLine="567"/>
        <w:jc w:val="both"/>
        <w:rPr>
          <w:lang w:eastAsia="lt-LT"/>
        </w:rPr>
      </w:pPr>
    </w:p>
    <w:p w14:paraId="40FD3486" w14:textId="77777777" w:rsidR="00C905A2" w:rsidRDefault="009C61F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IV</w:t>
      </w:r>
      <w:r>
        <w:rPr>
          <w:b/>
          <w:bCs/>
          <w:lang w:eastAsia="lt-LT"/>
        </w:rPr>
        <w:t xml:space="preserve">. </w:t>
      </w:r>
      <w:r>
        <w:rPr>
          <w:b/>
          <w:bCs/>
          <w:lang w:eastAsia="lt-LT"/>
        </w:rPr>
        <w:t>INFRAGARSO IR ŽEMO DAŽNIO GARSO LYGIŲ RIBINIAI DYDŽIAI</w:t>
      </w:r>
    </w:p>
    <w:p w14:paraId="40FD3487" w14:textId="77777777" w:rsidR="00C905A2" w:rsidRDefault="00C905A2">
      <w:pPr>
        <w:ind w:firstLine="567"/>
        <w:jc w:val="both"/>
        <w:rPr>
          <w:lang w:eastAsia="lt-LT"/>
        </w:rPr>
      </w:pPr>
    </w:p>
    <w:p w14:paraId="40FD3488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5</w:t>
      </w:r>
      <w:r>
        <w:rPr>
          <w:lang w:eastAsia="lt-LT"/>
        </w:rPr>
        <w:t>. Infragarso ir žemo dažnio garsai gyvenamuosiuose bei visuomeninės paskirties pastatuose vertinami trečdalio oktavos dažnių juostos vidutiniuose dažniuose, kai</w:t>
      </w:r>
      <w:r>
        <w:rPr>
          <w:lang w:eastAsia="lt-LT"/>
        </w:rPr>
        <w:t>:</w:t>
      </w:r>
    </w:p>
    <w:p w14:paraId="40FD3489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5.1</w:t>
      </w:r>
      <w:r>
        <w:rPr>
          <w:lang w:eastAsia="lt-LT"/>
        </w:rPr>
        <w:t>. L</w:t>
      </w:r>
      <w:r>
        <w:rPr>
          <w:vertAlign w:val="subscript"/>
          <w:lang w:eastAsia="lt-LT"/>
        </w:rPr>
        <w:t>CeqT</w:t>
      </w:r>
      <w:r>
        <w:rPr>
          <w:lang w:eastAsia="lt-LT"/>
        </w:rPr>
        <w:t xml:space="preserve"> ≥ 20 dB už L</w:t>
      </w:r>
      <w:r>
        <w:rPr>
          <w:vertAlign w:val="subscript"/>
          <w:lang w:eastAsia="lt-LT"/>
        </w:rPr>
        <w:t>AeqT</w:t>
      </w:r>
      <w:r>
        <w:rPr>
          <w:lang w:eastAsia="lt-LT"/>
        </w:rPr>
        <w:t>;</w:t>
      </w:r>
    </w:p>
    <w:p w14:paraId="40FD348A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5.2</w:t>
      </w:r>
      <w:r>
        <w:rPr>
          <w:lang w:eastAsia="lt-LT"/>
        </w:rPr>
        <w:t>. L</w:t>
      </w:r>
      <w:r>
        <w:rPr>
          <w:vertAlign w:val="subscript"/>
          <w:lang w:eastAsia="lt-LT"/>
        </w:rPr>
        <w:t>CFmax</w:t>
      </w:r>
      <w:r>
        <w:rPr>
          <w:lang w:eastAsia="lt-LT"/>
        </w:rPr>
        <w:t xml:space="preserve"> ≥ 20 dB už L</w:t>
      </w:r>
      <w:r>
        <w:rPr>
          <w:vertAlign w:val="subscript"/>
          <w:lang w:eastAsia="lt-LT"/>
        </w:rPr>
        <w:t>AFmax</w:t>
      </w:r>
      <w:r>
        <w:rPr>
          <w:lang w:eastAsia="lt-LT"/>
        </w:rPr>
        <w:t>.</w:t>
      </w:r>
    </w:p>
    <w:p w14:paraId="40FD348B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6</w:t>
      </w:r>
      <w:r>
        <w:rPr>
          <w:lang w:eastAsia="lt-LT"/>
        </w:rPr>
        <w:t>. Infragarso ir žemo dažnio garsai gyvenamuosiuose ir visuomeninės paskirties pastatuose įvertinami didžiausiojo F laikinio svertinio garso slėgio lygio (L</w:t>
      </w:r>
      <w:r>
        <w:rPr>
          <w:vertAlign w:val="subscript"/>
          <w:lang w:eastAsia="lt-LT"/>
        </w:rPr>
        <w:t>1/3f,Fmax</w:t>
      </w:r>
      <w:r>
        <w:rPr>
          <w:lang w:eastAsia="lt-LT"/>
        </w:rPr>
        <w:t xml:space="preserve">) ir įvertintojo </w:t>
      </w:r>
      <w:r>
        <w:rPr>
          <w:lang w:eastAsia="lt-LT"/>
        </w:rPr>
        <w:t>garso slėgio lygio trečdalio oktavos dažnių juostos vidutiniuose dažniuose (L</w:t>
      </w:r>
      <w:r>
        <w:rPr>
          <w:vertAlign w:val="subscript"/>
          <w:lang w:eastAsia="lt-LT"/>
        </w:rPr>
        <w:t>1/3f,R</w:t>
      </w:r>
      <w:r>
        <w:rPr>
          <w:lang w:eastAsia="lt-LT"/>
        </w:rPr>
        <w:t>) rezultatais palyginant juos su šios higienos normos 1 lentelėje pateiktais infragarso ir žemo dažnio garso lygių ribiniais dydžiais.</w:t>
      </w:r>
    </w:p>
    <w:p w14:paraId="40FD348C" w14:textId="77777777" w:rsidR="00C905A2" w:rsidRDefault="00C905A2">
      <w:pPr>
        <w:jc w:val="both"/>
        <w:rPr>
          <w:lang w:eastAsia="lt-LT"/>
        </w:rPr>
      </w:pPr>
    </w:p>
    <w:p w14:paraId="40FD348D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1 lentelė. Leidžiami infragarso ir </w:t>
      </w:r>
      <w:r>
        <w:rPr>
          <w:lang w:eastAsia="lt-LT"/>
        </w:rPr>
        <w:t>žemo dažnio garsų ribiniai dydžiai gyvenamuosiuose ir visuomeninės paskirties pastatuose:</w:t>
      </w:r>
    </w:p>
    <w:p w14:paraId="40FD348E" w14:textId="77777777" w:rsidR="00C905A2" w:rsidRDefault="00C905A2">
      <w:pPr>
        <w:rPr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905A2" w14:paraId="40FD3491" w14:textId="77777777">
        <w:tc>
          <w:tcPr>
            <w:tcW w:w="4644" w:type="dxa"/>
          </w:tcPr>
          <w:p w14:paraId="40FD348F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Trečdalio oktavos dažnių juostos vidutinis dažnis, Hz</w:t>
            </w:r>
          </w:p>
        </w:tc>
        <w:tc>
          <w:tcPr>
            <w:tcW w:w="4644" w:type="dxa"/>
          </w:tcPr>
          <w:p w14:paraId="40FD3490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Infragarso ir žemo dažnio garso lygių ribiniai dydžiai, dB</w:t>
            </w:r>
          </w:p>
        </w:tc>
      </w:tr>
      <w:tr w:rsidR="00C905A2" w14:paraId="40FD3494" w14:textId="77777777">
        <w:tc>
          <w:tcPr>
            <w:tcW w:w="4644" w:type="dxa"/>
          </w:tcPr>
          <w:p w14:paraId="40FD3492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8</w:t>
            </w:r>
          </w:p>
        </w:tc>
        <w:tc>
          <w:tcPr>
            <w:tcW w:w="4644" w:type="dxa"/>
          </w:tcPr>
          <w:p w14:paraId="40FD3493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103</w:t>
            </w:r>
          </w:p>
        </w:tc>
      </w:tr>
      <w:tr w:rsidR="00C905A2" w14:paraId="40FD3497" w14:textId="77777777">
        <w:tc>
          <w:tcPr>
            <w:tcW w:w="4644" w:type="dxa"/>
          </w:tcPr>
          <w:p w14:paraId="40FD3495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lastRenderedPageBreak/>
              <w:t>10</w:t>
            </w:r>
          </w:p>
        </w:tc>
        <w:tc>
          <w:tcPr>
            <w:tcW w:w="4644" w:type="dxa"/>
          </w:tcPr>
          <w:p w14:paraId="40FD3496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95</w:t>
            </w:r>
          </w:p>
        </w:tc>
      </w:tr>
      <w:tr w:rsidR="00C905A2" w14:paraId="40FD349A" w14:textId="77777777">
        <w:tc>
          <w:tcPr>
            <w:tcW w:w="4644" w:type="dxa"/>
          </w:tcPr>
          <w:p w14:paraId="40FD3498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12,5</w:t>
            </w:r>
          </w:p>
        </w:tc>
        <w:tc>
          <w:tcPr>
            <w:tcW w:w="4644" w:type="dxa"/>
          </w:tcPr>
          <w:p w14:paraId="40FD3499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87</w:t>
            </w:r>
          </w:p>
        </w:tc>
      </w:tr>
      <w:tr w:rsidR="00C905A2" w14:paraId="40FD349D" w14:textId="77777777">
        <w:tc>
          <w:tcPr>
            <w:tcW w:w="4644" w:type="dxa"/>
          </w:tcPr>
          <w:p w14:paraId="40FD349B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16</w:t>
            </w:r>
          </w:p>
        </w:tc>
        <w:tc>
          <w:tcPr>
            <w:tcW w:w="4644" w:type="dxa"/>
          </w:tcPr>
          <w:p w14:paraId="40FD349C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79</w:t>
            </w:r>
          </w:p>
        </w:tc>
      </w:tr>
      <w:tr w:rsidR="00C905A2" w14:paraId="40FD34A0" w14:textId="77777777">
        <w:tc>
          <w:tcPr>
            <w:tcW w:w="4644" w:type="dxa"/>
          </w:tcPr>
          <w:p w14:paraId="40FD349E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20</w:t>
            </w:r>
          </w:p>
        </w:tc>
        <w:tc>
          <w:tcPr>
            <w:tcW w:w="4644" w:type="dxa"/>
          </w:tcPr>
          <w:p w14:paraId="40FD349F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71</w:t>
            </w:r>
          </w:p>
        </w:tc>
      </w:tr>
      <w:tr w:rsidR="00C905A2" w14:paraId="40FD34A3" w14:textId="77777777">
        <w:tc>
          <w:tcPr>
            <w:tcW w:w="4644" w:type="dxa"/>
          </w:tcPr>
          <w:p w14:paraId="40FD34A1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25</w:t>
            </w:r>
          </w:p>
        </w:tc>
        <w:tc>
          <w:tcPr>
            <w:tcW w:w="4644" w:type="dxa"/>
          </w:tcPr>
          <w:p w14:paraId="40FD34A2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63</w:t>
            </w:r>
          </w:p>
        </w:tc>
      </w:tr>
      <w:tr w:rsidR="00C905A2" w14:paraId="40FD34A6" w14:textId="77777777">
        <w:tc>
          <w:tcPr>
            <w:tcW w:w="4644" w:type="dxa"/>
          </w:tcPr>
          <w:p w14:paraId="40FD34A4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31,5</w:t>
            </w:r>
          </w:p>
        </w:tc>
        <w:tc>
          <w:tcPr>
            <w:tcW w:w="4644" w:type="dxa"/>
          </w:tcPr>
          <w:p w14:paraId="40FD34A5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56</w:t>
            </w:r>
          </w:p>
        </w:tc>
      </w:tr>
      <w:tr w:rsidR="00C905A2" w14:paraId="40FD34A9" w14:textId="77777777">
        <w:tc>
          <w:tcPr>
            <w:tcW w:w="4644" w:type="dxa"/>
          </w:tcPr>
          <w:p w14:paraId="40FD34A7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40</w:t>
            </w:r>
          </w:p>
        </w:tc>
        <w:tc>
          <w:tcPr>
            <w:tcW w:w="4644" w:type="dxa"/>
          </w:tcPr>
          <w:p w14:paraId="40FD34A8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48</w:t>
            </w:r>
          </w:p>
        </w:tc>
      </w:tr>
      <w:tr w:rsidR="00C905A2" w14:paraId="40FD34AC" w14:textId="77777777">
        <w:tc>
          <w:tcPr>
            <w:tcW w:w="4644" w:type="dxa"/>
          </w:tcPr>
          <w:p w14:paraId="40FD34AA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50</w:t>
            </w:r>
          </w:p>
        </w:tc>
        <w:tc>
          <w:tcPr>
            <w:tcW w:w="4644" w:type="dxa"/>
          </w:tcPr>
          <w:p w14:paraId="40FD34AB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41</w:t>
            </w:r>
          </w:p>
        </w:tc>
      </w:tr>
      <w:tr w:rsidR="00C905A2" w14:paraId="40FD34AF" w14:textId="77777777">
        <w:tc>
          <w:tcPr>
            <w:tcW w:w="4644" w:type="dxa"/>
          </w:tcPr>
          <w:p w14:paraId="40FD34AD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63</w:t>
            </w:r>
          </w:p>
        </w:tc>
        <w:tc>
          <w:tcPr>
            <w:tcW w:w="4644" w:type="dxa"/>
          </w:tcPr>
          <w:p w14:paraId="40FD34AE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34</w:t>
            </w:r>
          </w:p>
        </w:tc>
      </w:tr>
      <w:tr w:rsidR="00C905A2" w14:paraId="40FD34B2" w14:textId="77777777">
        <w:tc>
          <w:tcPr>
            <w:tcW w:w="4644" w:type="dxa"/>
          </w:tcPr>
          <w:p w14:paraId="40FD34B0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80</w:t>
            </w:r>
          </w:p>
        </w:tc>
        <w:tc>
          <w:tcPr>
            <w:tcW w:w="4644" w:type="dxa"/>
          </w:tcPr>
          <w:p w14:paraId="40FD34B1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28</w:t>
            </w:r>
          </w:p>
        </w:tc>
      </w:tr>
      <w:tr w:rsidR="00C905A2" w14:paraId="40FD34B5" w14:textId="77777777">
        <w:tc>
          <w:tcPr>
            <w:tcW w:w="4644" w:type="dxa"/>
          </w:tcPr>
          <w:p w14:paraId="40FD34B3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100</w:t>
            </w:r>
          </w:p>
        </w:tc>
        <w:tc>
          <w:tcPr>
            <w:tcW w:w="4644" w:type="dxa"/>
          </w:tcPr>
          <w:p w14:paraId="40FD34B4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24</w:t>
            </w:r>
          </w:p>
        </w:tc>
      </w:tr>
      <w:tr w:rsidR="00C905A2" w14:paraId="40FD34B8" w14:textId="77777777">
        <w:tc>
          <w:tcPr>
            <w:tcW w:w="4644" w:type="dxa"/>
          </w:tcPr>
          <w:p w14:paraId="40FD34B6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125</w:t>
            </w:r>
          </w:p>
        </w:tc>
        <w:tc>
          <w:tcPr>
            <w:tcW w:w="4644" w:type="dxa"/>
          </w:tcPr>
          <w:p w14:paraId="40FD34B7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21</w:t>
            </w:r>
          </w:p>
        </w:tc>
      </w:tr>
      <w:tr w:rsidR="00C905A2" w14:paraId="40FD34BB" w14:textId="77777777">
        <w:tc>
          <w:tcPr>
            <w:tcW w:w="4644" w:type="dxa"/>
          </w:tcPr>
          <w:p w14:paraId="40FD34B9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160</w:t>
            </w:r>
          </w:p>
        </w:tc>
        <w:tc>
          <w:tcPr>
            <w:tcW w:w="4644" w:type="dxa"/>
          </w:tcPr>
          <w:p w14:paraId="40FD34BA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17</w:t>
            </w:r>
          </w:p>
        </w:tc>
      </w:tr>
      <w:tr w:rsidR="00C905A2" w14:paraId="40FD34BE" w14:textId="77777777">
        <w:tc>
          <w:tcPr>
            <w:tcW w:w="4644" w:type="dxa"/>
          </w:tcPr>
          <w:p w14:paraId="40FD34BC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200</w:t>
            </w:r>
          </w:p>
        </w:tc>
        <w:tc>
          <w:tcPr>
            <w:tcW w:w="4644" w:type="dxa"/>
          </w:tcPr>
          <w:p w14:paraId="40FD34BD" w14:textId="77777777" w:rsidR="00C905A2" w:rsidRDefault="009C61F1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14</w:t>
            </w:r>
          </w:p>
        </w:tc>
      </w:tr>
    </w:tbl>
    <w:p w14:paraId="40FD34BF" w14:textId="77777777" w:rsidR="00C905A2" w:rsidRDefault="009C61F1"/>
    <w:p w14:paraId="40FD34C0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7</w:t>
      </w:r>
      <w:r>
        <w:rPr>
          <w:lang w:eastAsia="lt-LT"/>
        </w:rPr>
        <w:t>. Infragarso ir žemo dažnio garsų, kuriuose pasireiškia toniniai garsai, ribiniai dydžiai sumažinami 5 dB.</w:t>
      </w:r>
    </w:p>
    <w:p w14:paraId="40FD34C1" w14:textId="77777777" w:rsidR="00C905A2" w:rsidRDefault="009C61F1">
      <w:pPr>
        <w:ind w:firstLine="567"/>
        <w:jc w:val="both"/>
        <w:rPr>
          <w:lang w:eastAsia="lt-LT"/>
        </w:rPr>
      </w:pPr>
    </w:p>
    <w:p w14:paraId="40FD34C2" w14:textId="77777777" w:rsidR="00C905A2" w:rsidRDefault="009C61F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V</w:t>
      </w:r>
      <w:r>
        <w:rPr>
          <w:b/>
          <w:bCs/>
          <w:lang w:eastAsia="lt-LT"/>
        </w:rPr>
        <w:t xml:space="preserve">. </w:t>
      </w:r>
      <w:r>
        <w:rPr>
          <w:b/>
          <w:bCs/>
          <w:lang w:eastAsia="lt-LT"/>
        </w:rPr>
        <w:t>INFRAGARSO IR ŽEMO DAŽNIO GARSO LYGIŲ VERTINIMO BENDRIEJI REIKALAVIMAI</w:t>
      </w:r>
    </w:p>
    <w:p w14:paraId="40FD34C3" w14:textId="77777777" w:rsidR="00C905A2" w:rsidRDefault="00C905A2">
      <w:pPr>
        <w:ind w:firstLine="567"/>
        <w:jc w:val="both"/>
        <w:rPr>
          <w:lang w:eastAsia="lt-LT"/>
        </w:rPr>
      </w:pPr>
    </w:p>
    <w:p w14:paraId="40FD34C4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8</w:t>
      </w:r>
      <w:r>
        <w:rPr>
          <w:lang w:eastAsia="lt-LT"/>
        </w:rPr>
        <w:t>. Matavimo prietaisai turi atitikti LST EN 61672-1:2003 [3.5] ir ISO 7196:2005 A priedo nuostatas.</w:t>
      </w:r>
    </w:p>
    <w:p w14:paraId="40FD34C5" w14:textId="77777777" w:rsidR="00C905A2" w:rsidRDefault="009C61F1">
      <w:pPr>
        <w:ind w:firstLine="567"/>
        <w:jc w:val="both"/>
        <w:rPr>
          <w:lang w:eastAsia="lt-LT"/>
        </w:rPr>
      </w:pPr>
      <w:r>
        <w:rPr>
          <w:lang w:eastAsia="lt-LT"/>
        </w:rPr>
        <w:t>9</w:t>
      </w:r>
      <w:r>
        <w:rPr>
          <w:lang w:eastAsia="lt-LT"/>
        </w:rPr>
        <w:t>. Infragarso ir žemo dažnio garsų matavimai atliekami vadovaujantis Lietuvos standartu LST ISO 1996-2:2008 [3.4] ir ISO 7196:1995.</w:t>
      </w:r>
    </w:p>
    <w:p w14:paraId="40FD34C6" w14:textId="77777777" w:rsidR="00C905A2" w:rsidRDefault="009C61F1">
      <w:pPr>
        <w:jc w:val="both"/>
        <w:rPr>
          <w:lang w:eastAsia="lt-LT"/>
        </w:rPr>
      </w:pPr>
    </w:p>
    <w:p w14:paraId="40FD34C8" w14:textId="539DA37A" w:rsidR="00C905A2" w:rsidRDefault="009C61F1" w:rsidP="009C61F1">
      <w:pPr>
        <w:jc w:val="center"/>
      </w:pPr>
      <w:r>
        <w:rPr>
          <w:lang w:eastAsia="lt-LT"/>
        </w:rPr>
        <w:t>_________________</w:t>
      </w:r>
    </w:p>
    <w:sectPr w:rsidR="00C905A2" w:rsidSect="009C61F1">
      <w:pgSz w:w="11907" w:h="16840" w:code="9"/>
      <w:pgMar w:top="1134" w:right="1134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595A8" w14:textId="77777777" w:rsidR="009C61F1" w:rsidRDefault="009C61F1" w:rsidP="009C61F1">
      <w:r>
        <w:separator/>
      </w:r>
    </w:p>
  </w:endnote>
  <w:endnote w:type="continuationSeparator" w:id="0">
    <w:p w14:paraId="73C86839" w14:textId="77777777" w:rsidR="009C61F1" w:rsidRDefault="009C61F1" w:rsidP="009C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529F6" w14:textId="77777777" w:rsidR="009C61F1" w:rsidRDefault="009C61F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5A4A" w14:textId="77777777" w:rsidR="009C61F1" w:rsidRDefault="009C61F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9716" w14:textId="77777777" w:rsidR="009C61F1" w:rsidRDefault="009C61F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702AA" w14:textId="77777777" w:rsidR="009C61F1" w:rsidRDefault="009C61F1" w:rsidP="009C61F1">
      <w:r>
        <w:separator/>
      </w:r>
    </w:p>
  </w:footnote>
  <w:footnote w:type="continuationSeparator" w:id="0">
    <w:p w14:paraId="0D202809" w14:textId="77777777" w:rsidR="009C61F1" w:rsidRDefault="009C61F1" w:rsidP="009C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F00B4" w14:textId="77777777" w:rsidR="009C61F1" w:rsidRDefault="009C61F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47883"/>
      <w:docPartObj>
        <w:docPartGallery w:val="Page Numbers (Top of Page)"/>
        <w:docPartUnique/>
      </w:docPartObj>
    </w:sdtPr>
    <w:sdtContent>
      <w:p w14:paraId="6EBFFFDB" w14:textId="398A149C" w:rsidR="009C61F1" w:rsidRDefault="009C61F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40314F7" w14:textId="77777777" w:rsidR="009C61F1" w:rsidRDefault="009C61F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2131B" w14:textId="77777777" w:rsidR="009C61F1" w:rsidRDefault="009C61F1">
    <w:pPr>
      <w:pStyle w:val="Antrats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F4"/>
    <w:rsid w:val="006674F4"/>
    <w:rsid w:val="009C61F1"/>
    <w:rsid w:val="00C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0FD3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61F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C61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61F1"/>
  </w:style>
  <w:style w:type="paragraph" w:styleId="Porat">
    <w:name w:val="footer"/>
    <w:basedOn w:val="prastasis"/>
    <w:link w:val="PoratDiagrama"/>
    <w:rsid w:val="009C61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C6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61F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C61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61F1"/>
  </w:style>
  <w:style w:type="paragraph" w:styleId="Porat">
    <w:name w:val="footer"/>
    <w:basedOn w:val="prastasis"/>
    <w:link w:val="PoratDiagrama"/>
    <w:rsid w:val="009C61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C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image" Target="media/image2.wmf"/>
  <Relationship Id="rId17" Type="http://schemas.openxmlformats.org/officeDocument/2006/relationships/oleObject" Target="embeddings/oleObject1.bin"/>
  <Relationship Id="rId18" Type="http://schemas.openxmlformats.org/officeDocument/2006/relationships/image" Target="media/image3.wmf"/>
  <Relationship Id="rId19" Type="http://schemas.openxmlformats.org/officeDocument/2006/relationships/oleObject" Target="embeddings/oleObject2.bin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64"/>
    <w:rsid w:val="005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6C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6C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4542</Words>
  <Characters>2590</Characters>
  <Application>Microsoft Office Word</Application>
  <DocSecurity>0</DocSecurity>
  <Lines>21</Lines>
  <Paragraphs>14</Paragraphs>
  <ScaleCrop>false</ScaleCrop>
  <Company>Teisines informacijos centras</Company>
  <LinksUpToDate>false</LinksUpToDate>
  <CharactersWithSpaces>7118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2015-09-17T01:04:00Z</dcterms:created>
  <dc:creator>Sandra</dc:creator>
  <lastModifiedBy>PETRAUSKAITĖ Girmantė</lastModifiedBy>
  <dcterms:modified xsi:type="dcterms:W3CDTF">2018-01-25T06:45:00Z</dcterms:modified>
  <revision>3</revision>
  <dc:title>LIETUVOS RESPUBLIKOS SVEIKATOS APSAUGOS MINISTRO</dc:title>
</coreProperties>
</file>