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widowControl w:val="0"/>
        <w:jc w:val="center"/>
        <w:rPr>
          <w:caps/>
        </w:rPr>
      </w:pPr>
      <w:r>
        <w:rPr>
          <w:caps/>
          <w:lang w:val="en-US"/>
        </w:rPr>
        <w:pict w14:anchorId="24A6223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rPr>
          <w:b/>
          <w:caps/>
        </w:rPr>
      </w:pPr>
    </w:p>
    <w:p>
      <w:pPr>
        <w:jc w:val="center"/>
        <w:rPr>
          <w:b/>
          <w:caps/>
        </w:rPr>
      </w:pPr>
      <w:r>
        <w:rPr>
          <w:b/>
          <w:caps/>
        </w:rPr>
        <w:t xml:space="preserve">DĖL </w:t>
      </w:r>
      <w:r>
        <w:rPr>
          <w:b/>
        </w:rPr>
        <w:t>LIETUVOS RESPUBLIKOS VYRIAUSYBĖS 2006 M. BIRŽELIO 14 D. NUTARIMO NR. 583 „DĖL MOKĖJIMO UŽ SOCIALINES PASLAUGAS TVARKOS APRAŠO PATVIRTINIMO“ PAKEITIMO</w:t>
      </w:r>
    </w:p>
    <w:p/>
    <w:p>
      <w:pPr>
        <w:jc w:val="center"/>
      </w:pPr>
      <w:r>
        <w:t>2009 m. kovo 4 d. Nr. 150</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 xml:space="preserve">Pakeisti Mokėjimo už socialines paslaugas tvarkos aprašą, patvirtintą Lietuvos Respublikos Vyriausybės 2006 m. birželio 14 d. nutarimu Nr. 583 „Dėl Mokėjimo už socialines paslaugas tvarkos aprašo patvirtinimo“ (Žin., 2006, Nr. </w:t>
      </w:r>
      <w:fldSimple w:instr="HYPERLINK https://www.e-tar.lt/portal/lt/legalAct/TAR.28208650B42B \t _blank">
        <w:r>
          <w:rPr>
            <w:u w:val="single"/>
            <w:color w:val="0000FF" w:themeColor="hyperlink"/>
          </w:rPr>
          <w:t>68-2510</w:t>
        </w:r>
      </w:fldSimple>
      <w:r>
        <w:t xml:space="preserve">): </w:t>
      </w:r>
    </w:p>
    <w:p>
      <w:pPr>
        <w:ind w:firstLine="567"/>
        <w:jc w:val="both"/>
      </w:pPr>
      <w:r>
        <w:t>1</w:t>
      </w:r>
      <w:r>
        <w:t>. Įrašyti 8 punkte po žodžio „tvarka“ žodžius „asmens (šeimos) finansinių galimybių vertinimo iš naujo dėl asmens (šeimos) pajamų ir asmens turto pokyčių, įvykusių per šių paslaugų gavimo laiką, sąlygos“.</w:t>
      </w:r>
    </w:p>
    <w:p>
      <w:pPr>
        <w:ind w:firstLine="567"/>
        <w:jc w:val="both"/>
      </w:pPr>
      <w:r>
        <w:t>2</w:t>
      </w:r>
      <w:r>
        <w:t>. Išdėstyti 33 punktą taip:</w:t>
      </w:r>
    </w:p>
    <w:p>
      <w:pPr>
        <w:ind w:firstLine="567"/>
        <w:jc w:val="both"/>
        <w:rPr>
          <w:b/>
        </w:rPr>
      </w:pPr>
      <w:r>
        <w:t>„</w:t>
      </w:r>
      <w:r>
        <w:t>33</w:t>
      </w:r>
      <w:r>
        <w:t>.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r>
        <w:rPr>
          <w:b/>
        </w:rPr>
        <w:t xml:space="preserve"> </w:t>
      </w:r>
    </w:p>
    <w:p>
      <w:pPr>
        <w:ind w:firstLine="567"/>
        <w:jc w:val="both"/>
      </w:pPr>
      <w:r>
        <w:t>3</w:t>
      </w:r>
      <w:r>
        <w:t xml:space="preserve">. Išdėstyti 36 punktą taip: </w:t>
      </w:r>
    </w:p>
    <w:p>
      <w:pPr>
        <w:ind w:firstLine="567"/>
        <w:jc w:val="both"/>
        <w:rPr>
          <w:strike/>
        </w:rPr>
      </w:pPr>
      <w:r>
        <w:t>„</w:t>
      </w:r>
      <w:r>
        <w:t>36</w:t>
      </w:r>
      <w:r>
        <w:t>. Asmens mokėjimo už vieną kalendorinį mėnesį teikiamą trumpalaikę socialinę globą dydis neturi viršyti 80 procentų asmens pajamų. Tais atvejais, kai asmuo, gaudamas trumpalaikę socialinę globą namuose ar laikino gyvenimo namuose (pvz., nakvynės namuose, krizių centruose ir kitur),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pPr>
        <w:ind w:firstLine="567"/>
        <w:jc w:val="both"/>
      </w:pPr>
      <w:r>
        <w:t>4</w:t>
      </w:r>
      <w:r>
        <w:t>. Įrašyti 37 punkte po žodžio „mėnesį“ žodžius „ar ne visą parą“.</w:t>
      </w:r>
    </w:p>
    <w:p>
      <w:pPr>
        <w:ind w:firstLine="567"/>
        <w:jc w:val="both"/>
      </w:pPr>
      <w:r>
        <w:t>5</w:t>
      </w:r>
      <w:r>
        <w:t>. Išdėstyti 46 punktą taip:</w:t>
      </w:r>
    </w:p>
    <w:p>
      <w:pPr>
        <w:ind w:firstLine="567"/>
        <w:jc w:val="both"/>
      </w:pPr>
      <w:r>
        <w:t>„</w:t>
      </w:r>
      <w:r>
        <w:t>46</w:t>
      </w:r>
      <w:r>
        <w:t>. Asmenys, laikinai teisės aktų nustatyta tvarka išvykę iš ilgalaikę socialinę globą teikiančios socialinių paslaugų įstaigos, už išvykimo laiką moka 30 procentų jiems nustatyto mokėjimo už ilgalaikę socialinę globą dydžio. Išvykus ne ilgiau kaip trims paroms, mokėjimo už ilgalaikę socialinę globą dydis nemažinamas.“</w:t>
      </w:r>
    </w:p>
    <w:p>
      <w:pPr>
        <w:keepNext/>
        <w:ind w:firstLine="567"/>
        <w:jc w:val="both"/>
      </w:pPr>
      <w:r>
        <w:t>6</w:t>
      </w:r>
      <w:r>
        <w:t>. Išdėstyti 66 punktą taip:</w:t>
      </w:r>
    </w:p>
    <w:p>
      <w:pPr>
        <w:keepNext/>
        <w:ind w:firstLine="567"/>
        <w:jc w:val="both"/>
      </w:pPr>
      <w:r>
        <w:t>„</w:t>
      </w:r>
      <w:r>
        <w:t>66</w:t>
      </w:r>
      <w:r>
        <w:t xml:space="preserve">. Socialines paslaugas gaunantis asmuo (vienas iš suaugusių šeimos narių) ar jo globėjas (rūpintojas) pagal sutartyje numatytas sąlygas praneša savivaldybei apie asmens (šeimos) pajamų, asmens turto pokyčius per šių paslaugų gavimo laiką.“ </w:t>
      </w:r>
    </w:p>
    <w:p>
      <w:pPr>
        <w:ind w:firstLine="567"/>
        <w:jc w:val="both"/>
      </w:pPr>
      <w:r>
        <w:t>7</w:t>
      </w:r>
      <w:r>
        <w:t>. Įrašyti 89 punkte vietoj žodžio „Duomenis“ žodį „Informaciją“, po žodžio „telkinių“ žodžius „ir jų vertes“.</w:t>
      </w:r>
    </w:p>
    <w:p>
      <w:pPr>
        <w:ind w:firstLine="567"/>
        <w:jc w:val="both"/>
      </w:pPr>
      <w:r>
        <w:t>8</w:t>
      </w:r>
      <w:r>
        <w:t xml:space="preserve">. Pripažinti netekusiu galios 90 punktą. </w:t>
      </w:r>
    </w:p>
    <w:p>
      <w:pPr>
        <w:ind w:firstLine="567"/>
        <w:jc w:val="both"/>
      </w:pPr>
      <w:r>
        <w:t>9</w:t>
      </w:r>
      <w:r>
        <w:t>. Išdėstyti 96 punktą taip:</w:t>
      </w:r>
    </w:p>
    <w:p>
      <w:pPr>
        <w:keepNext/>
        <w:pageBreakBefore/>
        <w:ind w:firstLine="567"/>
        <w:jc w:val="both"/>
      </w:pPr>
      <w:r>
        <w:t>„</w:t>
      </w:r>
      <w:r>
        <w:t>96</w:t>
      </w:r>
      <w:r>
        <w:t>. Turto vertės normatyvui nustatyti taikomos kiekvienų metų vasario 1 d., gegužės 1 d., rugpjūčio 1 d. ir lapkričio 1 d. valstybės įmonės Registrų centro nustatomos ir leidinyje „Valstybės žinios“ skelbiamos vidutinės nekilnojamojo turto rinkos vertės Lietuvos miestuose ir savivaldybių centruose, kitose savivaldybių teritorijose piniginei socialinei paramai nepasiturinčioms šeimoms ir vieniems gyvenantiems asmenims gauti.“</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SOCIALINĖS APSAUGOS IR DARBO MINISTRAS</w:t>
        <w:tab/>
        <w:t>RIMANTAS DAGYS</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2847</Characters>
  <Application>Microsoft Office Word</Application>
  <DocSecurity>4</DocSecurity>
  <Lines>60</Lines>
  <Paragraphs>26</Paragraphs>
  <ScaleCrop>false</ScaleCrop>
  <Company>LRVK</Company>
  <LinksUpToDate>false</LinksUpToDate>
  <CharactersWithSpaces>3262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2015-10-04T03:44:00Z</dcterms:created>
  <dc:creator>lrvk</dc:creator>
  <lastModifiedBy>Adlib User</lastModifiedBy>
  <lastPrinted>2009-03-06T12:28:00Z</lastPrinted>
  <dcterms:modified xsi:type="dcterms:W3CDTF">2015-10-04T03:44:00Z</dcterms:modified>
  <revision>2</revision>
</coreProperties>
</file>