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C7A72" w14:textId="77777777" w:rsidR="00920285" w:rsidRDefault="00CD626E">
      <w:pPr>
        <w:widowControl w:val="0"/>
        <w:shd w:val="clear" w:color="auto" w:fill="FFFFFF"/>
        <w:jc w:val="center"/>
      </w:pPr>
      <w:r>
        <w:pict w14:anchorId="231C7AB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LIETUVOS RESPUBLIKOS SVEIKATOS APSAUGOS MINISTRO</w:t>
      </w:r>
    </w:p>
    <w:p w14:paraId="231C7A73" w14:textId="77777777" w:rsidR="00920285" w:rsidRDefault="00CD626E">
      <w:pPr>
        <w:widowControl w:val="0"/>
        <w:shd w:val="clear" w:color="auto" w:fill="FFFFFF"/>
        <w:jc w:val="center"/>
        <w:rPr>
          <w:spacing w:val="60"/>
        </w:rPr>
      </w:pPr>
      <w:r>
        <w:rPr>
          <w:spacing w:val="60"/>
        </w:rPr>
        <w:t>ĮSAKYMAS</w:t>
      </w:r>
    </w:p>
    <w:p w14:paraId="231C7A74" w14:textId="77777777" w:rsidR="00920285" w:rsidRDefault="00920285">
      <w:pPr>
        <w:jc w:val="center"/>
      </w:pPr>
    </w:p>
    <w:p w14:paraId="231C7A75" w14:textId="77777777" w:rsidR="00920285" w:rsidRDefault="00CD626E">
      <w:pPr>
        <w:widowControl w:val="0"/>
        <w:shd w:val="clear" w:color="auto" w:fill="FFFFFF"/>
        <w:jc w:val="center"/>
      </w:pPr>
      <w:r>
        <w:rPr>
          <w:b/>
          <w:bCs/>
        </w:rPr>
        <w:t>DĖL LIETUVOS RESPUBLIKOS SVEIKATOS APSAUGOS MINISTRO 2008 M. SAUSIO 17 D. ĮSAKYMO NR. V-50 „DĖL MEDICININĖS REABILITACIJOS IR SANATORINIO (ANTIRECIDYVINIO) GYDYMO</w:t>
      </w:r>
      <w:r>
        <w:rPr>
          <w:b/>
          <w:bCs/>
        </w:rPr>
        <w:t xml:space="preserve"> ORGANIZAVIMO“ PAKEITIMO</w:t>
      </w:r>
    </w:p>
    <w:p w14:paraId="231C7A76" w14:textId="77777777" w:rsidR="00920285" w:rsidRDefault="00920285">
      <w:pPr>
        <w:jc w:val="center"/>
      </w:pPr>
    </w:p>
    <w:p w14:paraId="231C7A77" w14:textId="77777777" w:rsidR="00920285" w:rsidRDefault="00CD626E">
      <w:pPr>
        <w:widowControl w:val="0"/>
        <w:shd w:val="clear" w:color="auto" w:fill="FFFFFF"/>
        <w:jc w:val="center"/>
      </w:pPr>
      <w:r>
        <w:t xml:space="preserve">2008 m. gegužės 9 d. Nr. V-439 </w:t>
      </w:r>
    </w:p>
    <w:p w14:paraId="231C7A78" w14:textId="77777777" w:rsidR="00920285" w:rsidRDefault="00CD626E">
      <w:pPr>
        <w:widowControl w:val="0"/>
        <w:shd w:val="clear" w:color="auto" w:fill="FFFFFF"/>
        <w:jc w:val="center"/>
      </w:pPr>
      <w:r>
        <w:t>Vilnius</w:t>
      </w:r>
    </w:p>
    <w:p w14:paraId="231C7A79" w14:textId="77777777" w:rsidR="00920285" w:rsidRDefault="00920285"/>
    <w:p w14:paraId="23DC4FED" w14:textId="77777777" w:rsidR="00CD626E" w:rsidRDefault="00CD626E"/>
    <w:p w14:paraId="231C7A7A" w14:textId="77777777" w:rsidR="00920285" w:rsidRDefault="00CD626E">
      <w:pPr>
        <w:widowControl w:val="0"/>
        <w:shd w:val="clear" w:color="auto" w:fill="FFFFFF"/>
        <w:ind w:firstLine="567"/>
        <w:jc w:val="both"/>
      </w:pPr>
      <w:r>
        <w:t xml:space="preserve">Vadovaudamasis Lietuvos Respublikos sveikatos draudimo įstatymo (Žin., 1996, Nr. </w:t>
      </w:r>
      <w:hyperlink r:id="rId8" w:tgtFrame="_blank" w:history="1">
        <w:r>
          <w:rPr>
            <w:color w:val="0000FF" w:themeColor="hyperlink"/>
            <w:u w:val="single"/>
          </w:rPr>
          <w:t>55-1287</w:t>
        </w:r>
      </w:hyperlink>
      <w:r>
        <w:t xml:space="preserve">; 2002, Nr. </w:t>
      </w:r>
      <w:hyperlink r:id="rId9" w:tgtFrame="_blank" w:history="1">
        <w:r>
          <w:rPr>
            <w:color w:val="0000FF" w:themeColor="hyperlink"/>
            <w:u w:val="single"/>
          </w:rPr>
          <w:t>123-5512</w:t>
        </w:r>
      </w:hyperlink>
      <w:r>
        <w:t>) 9 straipsnio 6 dalimi ir 25 straipsnio 1 dalimi ir atsižvelgdamas į Privalomojo sveikatos draudimo tarybos 2008 m. balandžio 24 d. nutarimą Nr. 3/1 „Dėl V darbo užmokesčio didin</w:t>
      </w:r>
      <w:r>
        <w:t>imo etapo krypčių ir asmens sveikatos priežiūros paslaugų bazinių kainų indeksavimo“ ir nutarimą Nr. 3/2 „Dėl bazinių kainų indeksavimo didėjančioms energetikos ir kitoms išlaidoms padengti“ bei siekdamas užtikrinti tinkamą medicininės reabilitacijos organ</w:t>
      </w:r>
      <w:r>
        <w:t>izavimą:</w:t>
      </w:r>
    </w:p>
    <w:p w14:paraId="231C7A7B" w14:textId="77777777" w:rsidR="00920285" w:rsidRDefault="00CD626E">
      <w:pPr>
        <w:widowControl w:val="0"/>
        <w:shd w:val="clear" w:color="auto" w:fill="FFFFFF"/>
        <w:ind w:firstLine="567"/>
        <w:jc w:val="both"/>
      </w:pPr>
      <w:r>
        <w:t>1</w:t>
      </w:r>
      <w:r>
        <w:t xml:space="preserve">. </w:t>
      </w:r>
      <w:r>
        <w:rPr>
          <w:spacing w:val="60"/>
        </w:rPr>
        <w:t>Pakeičiu</w:t>
      </w:r>
      <w:r>
        <w:t xml:space="preserve"> Lietuvos Respublikos sveikatos apsaugos ministro 2008 m. sausio 17 d. įsakymą Nr. V-50 „Dėl medicininės reabilitacijos ir sanatorinio (antirecidyvinio) gydymo organizavimo“ (Žin., 2008, Nr. </w:t>
      </w:r>
      <w:hyperlink r:id="rId10" w:tgtFrame="_blank" w:history="1">
        <w:r>
          <w:rPr>
            <w:color w:val="0000FF" w:themeColor="hyperlink"/>
            <w:u w:val="single"/>
          </w:rPr>
          <w:t>12-407</w:t>
        </w:r>
      </w:hyperlink>
      <w:r>
        <w:t xml:space="preserve">, Nr. </w:t>
      </w:r>
      <w:hyperlink r:id="rId11" w:tgtFrame="_blank" w:history="1">
        <w:r>
          <w:rPr>
            <w:color w:val="0000FF" w:themeColor="hyperlink"/>
            <w:u w:val="single"/>
          </w:rPr>
          <w:t>37-1345</w:t>
        </w:r>
      </w:hyperlink>
      <w:r>
        <w:t>):</w:t>
      </w:r>
    </w:p>
    <w:p w14:paraId="231C7A7C" w14:textId="77777777" w:rsidR="00920285" w:rsidRDefault="00CD626E">
      <w:pPr>
        <w:widowControl w:val="0"/>
        <w:shd w:val="clear" w:color="auto" w:fill="FFFFFF"/>
        <w:ind w:firstLine="567"/>
        <w:jc w:val="both"/>
      </w:pPr>
      <w:r>
        <w:t>1.1</w:t>
      </w:r>
      <w:r>
        <w:t>. Nurodytuoju įsakymu patvirtinto Išlaidų medicininei reabilitacijai kompensacijų skyrimo ir mokėjimo tvarkos ap</w:t>
      </w:r>
      <w:r>
        <w:t>rašo:</w:t>
      </w:r>
    </w:p>
    <w:p w14:paraId="231C7A7D" w14:textId="77777777" w:rsidR="00920285" w:rsidRDefault="00CD626E">
      <w:pPr>
        <w:widowControl w:val="0"/>
        <w:shd w:val="clear" w:color="auto" w:fill="FFFFFF"/>
        <w:ind w:firstLine="567"/>
        <w:jc w:val="both"/>
      </w:pPr>
      <w:r>
        <w:t>1.1.1</w:t>
      </w:r>
      <w:r>
        <w:t>. 10 punktą išdėstau taip:</w:t>
      </w:r>
    </w:p>
    <w:p w14:paraId="231C7A7E" w14:textId="77777777" w:rsidR="00920285" w:rsidRDefault="00CD626E">
      <w:pPr>
        <w:widowControl w:val="0"/>
        <w:shd w:val="clear" w:color="auto" w:fill="FFFFFF"/>
        <w:ind w:firstLine="567"/>
        <w:jc w:val="both"/>
      </w:pPr>
      <w:r>
        <w:t>„</w:t>
      </w:r>
      <w:r>
        <w:t>10</w:t>
      </w:r>
      <w:r>
        <w:t>. Reabilitacijos bei sveikatos grąžinamojo gydymo paslaugų bazinių kainų sąrašas:</w:t>
      </w:r>
    </w:p>
    <w:p w14:paraId="231C7A7F" w14:textId="77777777" w:rsidR="00920285" w:rsidRDefault="00920285"/>
    <w:tbl>
      <w:tblPr>
        <w:tblW w:w="0" w:type="auto"/>
        <w:tblInd w:w="40" w:type="dxa"/>
        <w:tblLayout w:type="fixed"/>
        <w:tblCellMar>
          <w:left w:w="40" w:type="dxa"/>
          <w:right w:w="40" w:type="dxa"/>
        </w:tblCellMar>
        <w:tblLook w:val="0000" w:firstRow="0" w:lastRow="0" w:firstColumn="0" w:lastColumn="0" w:noHBand="0" w:noVBand="0"/>
      </w:tblPr>
      <w:tblGrid>
        <w:gridCol w:w="518"/>
        <w:gridCol w:w="3912"/>
        <w:gridCol w:w="2349"/>
        <w:gridCol w:w="2357"/>
      </w:tblGrid>
      <w:tr w:rsidR="00920285" w14:paraId="231C7A84" w14:textId="77777777">
        <w:trPr>
          <w:cantSplit/>
          <w:trHeight w:val="25"/>
        </w:trPr>
        <w:tc>
          <w:tcPr>
            <w:tcW w:w="518" w:type="dxa"/>
            <w:tcBorders>
              <w:top w:val="single" w:sz="6" w:space="0" w:color="auto"/>
              <w:left w:val="nil"/>
              <w:bottom w:val="single" w:sz="6" w:space="0" w:color="auto"/>
              <w:right w:val="single" w:sz="6" w:space="0" w:color="auto"/>
            </w:tcBorders>
            <w:shd w:val="clear" w:color="auto" w:fill="FFFFFF"/>
          </w:tcPr>
          <w:p w14:paraId="231C7A80" w14:textId="77777777" w:rsidR="00920285" w:rsidRDefault="00CD626E">
            <w:pPr>
              <w:widowControl w:val="0"/>
              <w:shd w:val="clear" w:color="auto" w:fill="FFFFFF"/>
              <w:rPr>
                <w:sz w:val="22"/>
              </w:rPr>
            </w:pPr>
            <w:r>
              <w:rPr>
                <w:sz w:val="22"/>
              </w:rPr>
              <w:t xml:space="preserve">Eil. Nr. </w:t>
            </w:r>
          </w:p>
        </w:tc>
        <w:tc>
          <w:tcPr>
            <w:tcW w:w="3912" w:type="dxa"/>
            <w:tcBorders>
              <w:top w:val="single" w:sz="6" w:space="0" w:color="auto"/>
              <w:left w:val="single" w:sz="6" w:space="0" w:color="auto"/>
              <w:bottom w:val="single" w:sz="6" w:space="0" w:color="auto"/>
              <w:right w:val="single" w:sz="6" w:space="0" w:color="auto"/>
            </w:tcBorders>
            <w:shd w:val="clear" w:color="auto" w:fill="FFFFFF"/>
          </w:tcPr>
          <w:p w14:paraId="231C7A81" w14:textId="77777777" w:rsidR="00920285" w:rsidRDefault="00CD626E">
            <w:pPr>
              <w:widowControl w:val="0"/>
              <w:shd w:val="clear" w:color="auto" w:fill="FFFFFF"/>
              <w:rPr>
                <w:sz w:val="22"/>
              </w:rPr>
            </w:pPr>
            <w:r>
              <w:rPr>
                <w:sz w:val="22"/>
              </w:rPr>
              <w:t>Gydymo paslaugos pavadinimas</w:t>
            </w:r>
          </w:p>
        </w:tc>
        <w:tc>
          <w:tcPr>
            <w:tcW w:w="2349" w:type="dxa"/>
            <w:tcBorders>
              <w:top w:val="single" w:sz="6" w:space="0" w:color="auto"/>
              <w:left w:val="single" w:sz="6" w:space="0" w:color="auto"/>
              <w:bottom w:val="single" w:sz="6" w:space="0" w:color="auto"/>
              <w:right w:val="single" w:sz="6" w:space="0" w:color="auto"/>
            </w:tcBorders>
            <w:shd w:val="clear" w:color="auto" w:fill="FFFFFF"/>
          </w:tcPr>
          <w:p w14:paraId="231C7A82" w14:textId="77777777" w:rsidR="00920285" w:rsidRDefault="00CD626E">
            <w:pPr>
              <w:widowControl w:val="0"/>
              <w:shd w:val="clear" w:color="auto" w:fill="FFFFFF"/>
              <w:ind w:left="210"/>
              <w:rPr>
                <w:sz w:val="22"/>
              </w:rPr>
            </w:pPr>
            <w:r>
              <w:rPr>
                <w:sz w:val="22"/>
              </w:rPr>
              <w:t>Suaugusiųjų vieno lovadienio/ ambulatorinio apsilankymo* bazinė kaina (balais)</w:t>
            </w:r>
          </w:p>
        </w:tc>
        <w:tc>
          <w:tcPr>
            <w:tcW w:w="2357" w:type="dxa"/>
            <w:tcBorders>
              <w:top w:val="single" w:sz="6" w:space="0" w:color="auto"/>
              <w:left w:val="single" w:sz="6" w:space="0" w:color="auto"/>
              <w:bottom w:val="single" w:sz="6" w:space="0" w:color="auto"/>
              <w:right w:val="nil"/>
            </w:tcBorders>
            <w:shd w:val="clear" w:color="auto" w:fill="FFFFFF"/>
          </w:tcPr>
          <w:p w14:paraId="231C7A83" w14:textId="77777777" w:rsidR="00920285" w:rsidRDefault="00CD626E">
            <w:pPr>
              <w:widowControl w:val="0"/>
              <w:shd w:val="clear" w:color="auto" w:fill="FFFFFF"/>
              <w:ind w:left="210"/>
              <w:rPr>
                <w:sz w:val="22"/>
              </w:rPr>
            </w:pPr>
            <w:r>
              <w:rPr>
                <w:sz w:val="22"/>
              </w:rPr>
              <w:t xml:space="preserve">Vaikų </w:t>
            </w:r>
            <w:r>
              <w:rPr>
                <w:sz w:val="22"/>
              </w:rPr>
              <w:t>vieno lovadienio/ ambulatorinio apsilankymo* bazinė kaina (balais)</w:t>
            </w:r>
          </w:p>
        </w:tc>
      </w:tr>
      <w:tr w:rsidR="00920285" w14:paraId="231C7A89" w14:textId="77777777">
        <w:trPr>
          <w:cantSplit/>
          <w:trHeight w:val="25"/>
        </w:trPr>
        <w:tc>
          <w:tcPr>
            <w:tcW w:w="518" w:type="dxa"/>
            <w:tcBorders>
              <w:top w:val="single" w:sz="6" w:space="0" w:color="auto"/>
              <w:left w:val="nil"/>
              <w:bottom w:val="nil"/>
              <w:right w:val="single" w:sz="6" w:space="0" w:color="auto"/>
            </w:tcBorders>
            <w:shd w:val="clear" w:color="auto" w:fill="FFFFFF"/>
          </w:tcPr>
          <w:p w14:paraId="231C7A85" w14:textId="77777777" w:rsidR="00920285" w:rsidRDefault="00CD626E">
            <w:pPr>
              <w:widowControl w:val="0"/>
              <w:shd w:val="clear" w:color="auto" w:fill="FFFFFF"/>
              <w:rPr>
                <w:sz w:val="22"/>
              </w:rPr>
            </w:pPr>
            <w:r>
              <w:rPr>
                <w:sz w:val="22"/>
              </w:rPr>
              <w:t>1.</w:t>
            </w:r>
          </w:p>
        </w:tc>
        <w:tc>
          <w:tcPr>
            <w:tcW w:w="3912" w:type="dxa"/>
            <w:tcBorders>
              <w:top w:val="single" w:sz="6" w:space="0" w:color="auto"/>
              <w:left w:val="single" w:sz="6" w:space="0" w:color="auto"/>
              <w:bottom w:val="nil"/>
              <w:right w:val="single" w:sz="6" w:space="0" w:color="auto"/>
            </w:tcBorders>
            <w:shd w:val="clear" w:color="auto" w:fill="FFFFFF"/>
          </w:tcPr>
          <w:p w14:paraId="231C7A86" w14:textId="77777777" w:rsidR="00920285" w:rsidRDefault="00CD626E">
            <w:pPr>
              <w:widowControl w:val="0"/>
              <w:shd w:val="clear" w:color="auto" w:fill="FFFFFF"/>
              <w:rPr>
                <w:sz w:val="22"/>
              </w:rPr>
            </w:pPr>
            <w:r>
              <w:rPr>
                <w:sz w:val="22"/>
              </w:rPr>
              <w:t>Reabilitacija III</w:t>
            </w:r>
          </w:p>
        </w:tc>
        <w:tc>
          <w:tcPr>
            <w:tcW w:w="2349" w:type="dxa"/>
            <w:tcBorders>
              <w:top w:val="single" w:sz="6" w:space="0" w:color="auto"/>
              <w:left w:val="single" w:sz="6" w:space="0" w:color="auto"/>
              <w:bottom w:val="nil"/>
              <w:right w:val="single" w:sz="6" w:space="0" w:color="auto"/>
            </w:tcBorders>
            <w:shd w:val="clear" w:color="auto" w:fill="FFFFFF"/>
          </w:tcPr>
          <w:p w14:paraId="231C7A87" w14:textId="77777777" w:rsidR="00920285" w:rsidRDefault="00CD626E">
            <w:pPr>
              <w:widowControl w:val="0"/>
              <w:shd w:val="clear" w:color="auto" w:fill="FFFFFF"/>
              <w:ind w:left="210"/>
              <w:rPr>
                <w:sz w:val="22"/>
              </w:rPr>
            </w:pPr>
            <w:r>
              <w:rPr>
                <w:sz w:val="22"/>
              </w:rPr>
              <w:t>201,5</w:t>
            </w:r>
          </w:p>
        </w:tc>
        <w:tc>
          <w:tcPr>
            <w:tcW w:w="2357" w:type="dxa"/>
            <w:tcBorders>
              <w:top w:val="single" w:sz="6" w:space="0" w:color="auto"/>
              <w:left w:val="single" w:sz="6" w:space="0" w:color="auto"/>
              <w:bottom w:val="nil"/>
              <w:right w:val="nil"/>
            </w:tcBorders>
            <w:shd w:val="clear" w:color="auto" w:fill="FFFFFF"/>
          </w:tcPr>
          <w:p w14:paraId="231C7A88" w14:textId="77777777" w:rsidR="00920285" w:rsidRDefault="00CD626E">
            <w:pPr>
              <w:widowControl w:val="0"/>
              <w:shd w:val="clear" w:color="auto" w:fill="FFFFFF"/>
              <w:ind w:left="210"/>
              <w:rPr>
                <w:sz w:val="22"/>
              </w:rPr>
            </w:pPr>
            <w:r>
              <w:rPr>
                <w:sz w:val="22"/>
              </w:rPr>
              <w:t>205,3</w:t>
            </w:r>
          </w:p>
        </w:tc>
      </w:tr>
      <w:tr w:rsidR="00920285" w14:paraId="231C7A8E" w14:textId="77777777">
        <w:trPr>
          <w:cantSplit/>
          <w:trHeight w:val="25"/>
        </w:trPr>
        <w:tc>
          <w:tcPr>
            <w:tcW w:w="518" w:type="dxa"/>
            <w:tcBorders>
              <w:top w:val="nil"/>
              <w:left w:val="nil"/>
              <w:bottom w:val="nil"/>
              <w:right w:val="single" w:sz="6" w:space="0" w:color="auto"/>
            </w:tcBorders>
            <w:shd w:val="clear" w:color="auto" w:fill="FFFFFF"/>
          </w:tcPr>
          <w:p w14:paraId="231C7A8A" w14:textId="77777777" w:rsidR="00920285" w:rsidRDefault="00CD626E">
            <w:pPr>
              <w:widowControl w:val="0"/>
              <w:shd w:val="clear" w:color="auto" w:fill="FFFFFF"/>
              <w:rPr>
                <w:sz w:val="22"/>
              </w:rPr>
            </w:pPr>
            <w:r>
              <w:rPr>
                <w:sz w:val="22"/>
              </w:rPr>
              <w:t>2.</w:t>
            </w:r>
          </w:p>
        </w:tc>
        <w:tc>
          <w:tcPr>
            <w:tcW w:w="3912" w:type="dxa"/>
            <w:tcBorders>
              <w:top w:val="nil"/>
              <w:left w:val="single" w:sz="6" w:space="0" w:color="auto"/>
              <w:bottom w:val="nil"/>
              <w:right w:val="single" w:sz="6" w:space="0" w:color="auto"/>
            </w:tcBorders>
            <w:shd w:val="clear" w:color="auto" w:fill="FFFFFF"/>
          </w:tcPr>
          <w:p w14:paraId="231C7A8B" w14:textId="77777777" w:rsidR="00920285" w:rsidRDefault="00CD626E">
            <w:pPr>
              <w:widowControl w:val="0"/>
              <w:shd w:val="clear" w:color="auto" w:fill="FFFFFF"/>
              <w:rPr>
                <w:sz w:val="22"/>
              </w:rPr>
            </w:pPr>
            <w:r>
              <w:rPr>
                <w:sz w:val="22"/>
              </w:rPr>
              <w:t>Reabilitacija II</w:t>
            </w:r>
          </w:p>
        </w:tc>
        <w:tc>
          <w:tcPr>
            <w:tcW w:w="2349" w:type="dxa"/>
            <w:tcBorders>
              <w:top w:val="nil"/>
              <w:left w:val="single" w:sz="6" w:space="0" w:color="auto"/>
              <w:bottom w:val="nil"/>
              <w:right w:val="single" w:sz="6" w:space="0" w:color="auto"/>
            </w:tcBorders>
            <w:shd w:val="clear" w:color="auto" w:fill="FFFFFF"/>
          </w:tcPr>
          <w:p w14:paraId="231C7A8C" w14:textId="77777777" w:rsidR="00920285" w:rsidRDefault="00CD626E">
            <w:pPr>
              <w:widowControl w:val="0"/>
              <w:shd w:val="clear" w:color="auto" w:fill="FFFFFF"/>
              <w:ind w:left="210"/>
              <w:rPr>
                <w:sz w:val="22"/>
              </w:rPr>
            </w:pPr>
            <w:r>
              <w:rPr>
                <w:sz w:val="22"/>
              </w:rPr>
              <w:t>134,2</w:t>
            </w:r>
          </w:p>
        </w:tc>
        <w:tc>
          <w:tcPr>
            <w:tcW w:w="2357" w:type="dxa"/>
            <w:tcBorders>
              <w:top w:val="nil"/>
              <w:left w:val="single" w:sz="6" w:space="0" w:color="auto"/>
              <w:bottom w:val="nil"/>
              <w:right w:val="nil"/>
            </w:tcBorders>
            <w:shd w:val="clear" w:color="auto" w:fill="FFFFFF"/>
          </w:tcPr>
          <w:p w14:paraId="231C7A8D" w14:textId="77777777" w:rsidR="00920285" w:rsidRDefault="00CD626E">
            <w:pPr>
              <w:widowControl w:val="0"/>
              <w:shd w:val="clear" w:color="auto" w:fill="FFFFFF"/>
              <w:ind w:left="210"/>
              <w:rPr>
                <w:sz w:val="22"/>
              </w:rPr>
            </w:pPr>
            <w:r>
              <w:rPr>
                <w:sz w:val="22"/>
              </w:rPr>
              <w:t>136,6</w:t>
            </w:r>
          </w:p>
        </w:tc>
      </w:tr>
      <w:tr w:rsidR="00920285" w14:paraId="231C7A93" w14:textId="77777777">
        <w:trPr>
          <w:cantSplit/>
          <w:trHeight w:val="25"/>
        </w:trPr>
        <w:tc>
          <w:tcPr>
            <w:tcW w:w="518" w:type="dxa"/>
            <w:tcBorders>
              <w:top w:val="nil"/>
              <w:left w:val="nil"/>
              <w:bottom w:val="nil"/>
              <w:right w:val="single" w:sz="6" w:space="0" w:color="auto"/>
            </w:tcBorders>
            <w:shd w:val="clear" w:color="auto" w:fill="FFFFFF"/>
          </w:tcPr>
          <w:p w14:paraId="231C7A8F" w14:textId="77777777" w:rsidR="00920285" w:rsidRDefault="00CD626E">
            <w:pPr>
              <w:widowControl w:val="0"/>
              <w:shd w:val="clear" w:color="auto" w:fill="FFFFFF"/>
              <w:rPr>
                <w:sz w:val="22"/>
              </w:rPr>
            </w:pPr>
            <w:r>
              <w:rPr>
                <w:sz w:val="22"/>
              </w:rPr>
              <w:t>3.</w:t>
            </w:r>
          </w:p>
        </w:tc>
        <w:tc>
          <w:tcPr>
            <w:tcW w:w="3912" w:type="dxa"/>
            <w:tcBorders>
              <w:top w:val="nil"/>
              <w:left w:val="single" w:sz="6" w:space="0" w:color="auto"/>
              <w:bottom w:val="nil"/>
              <w:right w:val="single" w:sz="6" w:space="0" w:color="auto"/>
            </w:tcBorders>
            <w:shd w:val="clear" w:color="auto" w:fill="FFFFFF"/>
          </w:tcPr>
          <w:p w14:paraId="231C7A90" w14:textId="77777777" w:rsidR="00920285" w:rsidRDefault="00CD626E">
            <w:pPr>
              <w:widowControl w:val="0"/>
              <w:shd w:val="clear" w:color="auto" w:fill="FFFFFF"/>
              <w:rPr>
                <w:sz w:val="22"/>
              </w:rPr>
            </w:pPr>
            <w:r>
              <w:rPr>
                <w:sz w:val="22"/>
              </w:rPr>
              <w:t>Ambulatorinė reabilitacija* II</w:t>
            </w:r>
          </w:p>
        </w:tc>
        <w:tc>
          <w:tcPr>
            <w:tcW w:w="2349" w:type="dxa"/>
            <w:tcBorders>
              <w:top w:val="nil"/>
              <w:left w:val="single" w:sz="6" w:space="0" w:color="auto"/>
              <w:bottom w:val="nil"/>
              <w:right w:val="single" w:sz="6" w:space="0" w:color="auto"/>
            </w:tcBorders>
            <w:shd w:val="clear" w:color="auto" w:fill="FFFFFF"/>
          </w:tcPr>
          <w:p w14:paraId="231C7A91" w14:textId="77777777" w:rsidR="00920285" w:rsidRDefault="00CD626E">
            <w:pPr>
              <w:widowControl w:val="0"/>
              <w:shd w:val="clear" w:color="auto" w:fill="FFFFFF"/>
              <w:ind w:left="210"/>
              <w:rPr>
                <w:sz w:val="22"/>
              </w:rPr>
            </w:pPr>
            <w:r>
              <w:rPr>
                <w:sz w:val="22"/>
              </w:rPr>
              <w:t>57,8</w:t>
            </w:r>
          </w:p>
        </w:tc>
        <w:tc>
          <w:tcPr>
            <w:tcW w:w="2357" w:type="dxa"/>
            <w:tcBorders>
              <w:top w:val="nil"/>
              <w:left w:val="single" w:sz="6" w:space="0" w:color="auto"/>
              <w:bottom w:val="nil"/>
              <w:right w:val="nil"/>
            </w:tcBorders>
            <w:shd w:val="clear" w:color="auto" w:fill="FFFFFF"/>
          </w:tcPr>
          <w:p w14:paraId="231C7A92" w14:textId="77777777" w:rsidR="00920285" w:rsidRDefault="00CD626E">
            <w:pPr>
              <w:widowControl w:val="0"/>
              <w:shd w:val="clear" w:color="auto" w:fill="FFFFFF"/>
              <w:ind w:left="210"/>
              <w:rPr>
                <w:sz w:val="22"/>
              </w:rPr>
            </w:pPr>
            <w:r>
              <w:rPr>
                <w:sz w:val="22"/>
              </w:rPr>
              <w:t>58,9</w:t>
            </w:r>
          </w:p>
        </w:tc>
      </w:tr>
      <w:tr w:rsidR="00920285" w14:paraId="231C7A98" w14:textId="77777777">
        <w:trPr>
          <w:cantSplit/>
          <w:trHeight w:val="25"/>
        </w:trPr>
        <w:tc>
          <w:tcPr>
            <w:tcW w:w="518" w:type="dxa"/>
            <w:tcBorders>
              <w:top w:val="nil"/>
              <w:left w:val="nil"/>
              <w:bottom w:val="nil"/>
              <w:right w:val="single" w:sz="6" w:space="0" w:color="auto"/>
            </w:tcBorders>
            <w:shd w:val="clear" w:color="auto" w:fill="FFFFFF"/>
          </w:tcPr>
          <w:p w14:paraId="231C7A94" w14:textId="77777777" w:rsidR="00920285" w:rsidRDefault="00CD626E">
            <w:pPr>
              <w:widowControl w:val="0"/>
              <w:shd w:val="clear" w:color="auto" w:fill="FFFFFF"/>
              <w:rPr>
                <w:sz w:val="22"/>
              </w:rPr>
            </w:pPr>
            <w:r>
              <w:rPr>
                <w:sz w:val="22"/>
              </w:rPr>
              <w:t>4.</w:t>
            </w:r>
          </w:p>
        </w:tc>
        <w:tc>
          <w:tcPr>
            <w:tcW w:w="3912" w:type="dxa"/>
            <w:tcBorders>
              <w:top w:val="nil"/>
              <w:left w:val="single" w:sz="6" w:space="0" w:color="auto"/>
              <w:bottom w:val="nil"/>
              <w:right w:val="single" w:sz="6" w:space="0" w:color="auto"/>
            </w:tcBorders>
            <w:shd w:val="clear" w:color="auto" w:fill="FFFFFF"/>
          </w:tcPr>
          <w:p w14:paraId="231C7A95" w14:textId="77777777" w:rsidR="00920285" w:rsidRDefault="00CD626E">
            <w:pPr>
              <w:widowControl w:val="0"/>
              <w:shd w:val="clear" w:color="auto" w:fill="FFFFFF"/>
              <w:rPr>
                <w:sz w:val="22"/>
              </w:rPr>
            </w:pPr>
            <w:r>
              <w:rPr>
                <w:sz w:val="22"/>
              </w:rPr>
              <w:t>Ambulatorinė reabilitacija* I</w:t>
            </w:r>
          </w:p>
        </w:tc>
        <w:tc>
          <w:tcPr>
            <w:tcW w:w="2349" w:type="dxa"/>
            <w:tcBorders>
              <w:top w:val="nil"/>
              <w:left w:val="single" w:sz="6" w:space="0" w:color="auto"/>
              <w:bottom w:val="nil"/>
              <w:right w:val="single" w:sz="6" w:space="0" w:color="auto"/>
            </w:tcBorders>
            <w:shd w:val="clear" w:color="auto" w:fill="FFFFFF"/>
          </w:tcPr>
          <w:p w14:paraId="231C7A96" w14:textId="77777777" w:rsidR="00920285" w:rsidRDefault="00CD626E">
            <w:pPr>
              <w:widowControl w:val="0"/>
              <w:shd w:val="clear" w:color="auto" w:fill="FFFFFF"/>
              <w:ind w:left="210"/>
              <w:rPr>
                <w:sz w:val="22"/>
              </w:rPr>
            </w:pPr>
            <w:r>
              <w:rPr>
                <w:sz w:val="22"/>
              </w:rPr>
              <w:t>48,2</w:t>
            </w:r>
          </w:p>
        </w:tc>
        <w:tc>
          <w:tcPr>
            <w:tcW w:w="2357" w:type="dxa"/>
            <w:tcBorders>
              <w:top w:val="nil"/>
              <w:left w:val="single" w:sz="6" w:space="0" w:color="auto"/>
              <w:bottom w:val="nil"/>
              <w:right w:val="nil"/>
            </w:tcBorders>
            <w:shd w:val="clear" w:color="auto" w:fill="FFFFFF"/>
          </w:tcPr>
          <w:p w14:paraId="231C7A97" w14:textId="77777777" w:rsidR="00920285" w:rsidRDefault="00CD626E">
            <w:pPr>
              <w:widowControl w:val="0"/>
              <w:shd w:val="clear" w:color="auto" w:fill="FFFFFF"/>
              <w:ind w:left="210"/>
              <w:rPr>
                <w:sz w:val="22"/>
              </w:rPr>
            </w:pPr>
            <w:r>
              <w:rPr>
                <w:sz w:val="22"/>
              </w:rPr>
              <w:t>–</w:t>
            </w:r>
          </w:p>
        </w:tc>
      </w:tr>
      <w:tr w:rsidR="00920285" w14:paraId="231C7A9D" w14:textId="77777777">
        <w:trPr>
          <w:cantSplit/>
          <w:trHeight w:val="25"/>
        </w:trPr>
        <w:tc>
          <w:tcPr>
            <w:tcW w:w="518" w:type="dxa"/>
            <w:tcBorders>
              <w:top w:val="nil"/>
              <w:left w:val="nil"/>
              <w:bottom w:val="nil"/>
              <w:right w:val="single" w:sz="6" w:space="0" w:color="auto"/>
            </w:tcBorders>
            <w:shd w:val="clear" w:color="auto" w:fill="FFFFFF"/>
          </w:tcPr>
          <w:p w14:paraId="231C7A99" w14:textId="77777777" w:rsidR="00920285" w:rsidRDefault="00CD626E">
            <w:pPr>
              <w:widowControl w:val="0"/>
              <w:shd w:val="clear" w:color="auto" w:fill="FFFFFF"/>
              <w:rPr>
                <w:sz w:val="22"/>
              </w:rPr>
            </w:pPr>
            <w:r>
              <w:rPr>
                <w:sz w:val="22"/>
              </w:rPr>
              <w:t>5.</w:t>
            </w:r>
          </w:p>
        </w:tc>
        <w:tc>
          <w:tcPr>
            <w:tcW w:w="3912" w:type="dxa"/>
            <w:tcBorders>
              <w:top w:val="nil"/>
              <w:left w:val="single" w:sz="6" w:space="0" w:color="auto"/>
              <w:bottom w:val="nil"/>
              <w:right w:val="single" w:sz="6" w:space="0" w:color="auto"/>
            </w:tcBorders>
            <w:shd w:val="clear" w:color="auto" w:fill="FFFFFF"/>
          </w:tcPr>
          <w:p w14:paraId="231C7A9A" w14:textId="77777777" w:rsidR="00920285" w:rsidRDefault="00CD626E">
            <w:pPr>
              <w:widowControl w:val="0"/>
              <w:shd w:val="clear" w:color="auto" w:fill="FFFFFF"/>
              <w:rPr>
                <w:sz w:val="22"/>
              </w:rPr>
            </w:pPr>
            <w:r>
              <w:rPr>
                <w:sz w:val="22"/>
              </w:rPr>
              <w:t>Sveikatos grąžinamasis gydymas</w:t>
            </w:r>
          </w:p>
        </w:tc>
        <w:tc>
          <w:tcPr>
            <w:tcW w:w="2349" w:type="dxa"/>
            <w:tcBorders>
              <w:top w:val="nil"/>
              <w:left w:val="single" w:sz="6" w:space="0" w:color="auto"/>
              <w:bottom w:val="nil"/>
              <w:right w:val="single" w:sz="6" w:space="0" w:color="auto"/>
            </w:tcBorders>
            <w:shd w:val="clear" w:color="auto" w:fill="FFFFFF"/>
          </w:tcPr>
          <w:p w14:paraId="231C7A9B" w14:textId="77777777" w:rsidR="00920285" w:rsidRDefault="00CD626E">
            <w:pPr>
              <w:widowControl w:val="0"/>
              <w:shd w:val="clear" w:color="auto" w:fill="FFFFFF"/>
              <w:ind w:left="210"/>
              <w:rPr>
                <w:sz w:val="22"/>
              </w:rPr>
            </w:pPr>
            <w:r>
              <w:rPr>
                <w:sz w:val="22"/>
              </w:rPr>
              <w:t>–</w:t>
            </w:r>
          </w:p>
        </w:tc>
        <w:tc>
          <w:tcPr>
            <w:tcW w:w="2357" w:type="dxa"/>
            <w:tcBorders>
              <w:top w:val="nil"/>
              <w:left w:val="single" w:sz="6" w:space="0" w:color="auto"/>
              <w:bottom w:val="nil"/>
              <w:right w:val="nil"/>
            </w:tcBorders>
            <w:shd w:val="clear" w:color="auto" w:fill="FFFFFF"/>
          </w:tcPr>
          <w:p w14:paraId="231C7A9C" w14:textId="77777777" w:rsidR="00920285" w:rsidRDefault="00CD626E">
            <w:pPr>
              <w:widowControl w:val="0"/>
              <w:shd w:val="clear" w:color="auto" w:fill="FFFFFF"/>
              <w:ind w:left="210"/>
              <w:rPr>
                <w:sz w:val="22"/>
              </w:rPr>
            </w:pPr>
            <w:r>
              <w:rPr>
                <w:sz w:val="22"/>
              </w:rPr>
              <w:t>85,1</w:t>
            </w:r>
          </w:p>
        </w:tc>
      </w:tr>
      <w:tr w:rsidR="00920285" w14:paraId="231C7AA2" w14:textId="77777777">
        <w:trPr>
          <w:cantSplit/>
          <w:trHeight w:val="25"/>
        </w:trPr>
        <w:tc>
          <w:tcPr>
            <w:tcW w:w="518" w:type="dxa"/>
            <w:tcBorders>
              <w:top w:val="nil"/>
              <w:left w:val="nil"/>
              <w:bottom w:val="nil"/>
              <w:right w:val="single" w:sz="6" w:space="0" w:color="auto"/>
            </w:tcBorders>
            <w:shd w:val="clear" w:color="auto" w:fill="FFFFFF"/>
          </w:tcPr>
          <w:p w14:paraId="231C7A9E" w14:textId="77777777" w:rsidR="00920285" w:rsidRDefault="00CD626E">
            <w:pPr>
              <w:widowControl w:val="0"/>
              <w:shd w:val="clear" w:color="auto" w:fill="FFFFFF"/>
              <w:rPr>
                <w:sz w:val="22"/>
              </w:rPr>
            </w:pPr>
            <w:r>
              <w:rPr>
                <w:sz w:val="22"/>
              </w:rPr>
              <w:t>6.</w:t>
            </w:r>
          </w:p>
        </w:tc>
        <w:tc>
          <w:tcPr>
            <w:tcW w:w="3912" w:type="dxa"/>
            <w:tcBorders>
              <w:top w:val="nil"/>
              <w:left w:val="single" w:sz="6" w:space="0" w:color="auto"/>
              <w:bottom w:val="nil"/>
              <w:right w:val="single" w:sz="6" w:space="0" w:color="auto"/>
            </w:tcBorders>
            <w:shd w:val="clear" w:color="auto" w:fill="FFFFFF"/>
          </w:tcPr>
          <w:p w14:paraId="231C7A9F" w14:textId="77777777" w:rsidR="00920285" w:rsidRDefault="00CD626E">
            <w:pPr>
              <w:widowControl w:val="0"/>
              <w:shd w:val="clear" w:color="auto" w:fill="FFFFFF"/>
              <w:rPr>
                <w:sz w:val="22"/>
              </w:rPr>
            </w:pPr>
            <w:r>
              <w:rPr>
                <w:sz w:val="22"/>
              </w:rPr>
              <w:t>Palaikomoji reabilitacija dėl judamojo atramos aparato pažeidimų, nervų sistemos ligų ir vaikų kraujo ligų</w:t>
            </w:r>
          </w:p>
        </w:tc>
        <w:tc>
          <w:tcPr>
            <w:tcW w:w="2349" w:type="dxa"/>
            <w:tcBorders>
              <w:top w:val="nil"/>
              <w:left w:val="single" w:sz="6" w:space="0" w:color="auto"/>
              <w:bottom w:val="nil"/>
              <w:right w:val="single" w:sz="6" w:space="0" w:color="auto"/>
            </w:tcBorders>
            <w:shd w:val="clear" w:color="auto" w:fill="FFFFFF"/>
          </w:tcPr>
          <w:p w14:paraId="231C7AA0" w14:textId="77777777" w:rsidR="00920285" w:rsidRDefault="00CD626E">
            <w:pPr>
              <w:widowControl w:val="0"/>
              <w:shd w:val="clear" w:color="auto" w:fill="FFFFFF"/>
              <w:ind w:left="210"/>
              <w:rPr>
                <w:sz w:val="22"/>
              </w:rPr>
            </w:pPr>
            <w:r>
              <w:rPr>
                <w:sz w:val="22"/>
              </w:rPr>
              <w:t>101,2</w:t>
            </w:r>
          </w:p>
        </w:tc>
        <w:tc>
          <w:tcPr>
            <w:tcW w:w="2357" w:type="dxa"/>
            <w:tcBorders>
              <w:top w:val="nil"/>
              <w:left w:val="single" w:sz="6" w:space="0" w:color="auto"/>
              <w:bottom w:val="nil"/>
              <w:right w:val="nil"/>
            </w:tcBorders>
            <w:shd w:val="clear" w:color="auto" w:fill="FFFFFF"/>
          </w:tcPr>
          <w:p w14:paraId="231C7AA1" w14:textId="77777777" w:rsidR="00920285" w:rsidRDefault="00CD626E">
            <w:pPr>
              <w:widowControl w:val="0"/>
              <w:shd w:val="clear" w:color="auto" w:fill="FFFFFF"/>
              <w:ind w:left="210"/>
              <w:rPr>
                <w:sz w:val="22"/>
              </w:rPr>
            </w:pPr>
            <w:r>
              <w:rPr>
                <w:sz w:val="22"/>
              </w:rPr>
              <w:t>103,5</w:t>
            </w:r>
          </w:p>
        </w:tc>
      </w:tr>
      <w:tr w:rsidR="00920285" w14:paraId="231C7AA7" w14:textId="77777777">
        <w:trPr>
          <w:cantSplit/>
          <w:trHeight w:val="25"/>
        </w:trPr>
        <w:tc>
          <w:tcPr>
            <w:tcW w:w="518" w:type="dxa"/>
            <w:tcBorders>
              <w:top w:val="nil"/>
              <w:left w:val="nil"/>
              <w:bottom w:val="nil"/>
              <w:right w:val="single" w:sz="6" w:space="0" w:color="auto"/>
            </w:tcBorders>
            <w:shd w:val="clear" w:color="auto" w:fill="FFFFFF"/>
          </w:tcPr>
          <w:p w14:paraId="231C7AA3" w14:textId="77777777" w:rsidR="00920285" w:rsidRDefault="00CD626E">
            <w:pPr>
              <w:widowControl w:val="0"/>
              <w:shd w:val="clear" w:color="auto" w:fill="FFFFFF"/>
              <w:rPr>
                <w:sz w:val="22"/>
              </w:rPr>
            </w:pPr>
            <w:r>
              <w:rPr>
                <w:sz w:val="22"/>
              </w:rPr>
              <w:t>7.</w:t>
            </w:r>
          </w:p>
        </w:tc>
        <w:tc>
          <w:tcPr>
            <w:tcW w:w="3912" w:type="dxa"/>
            <w:tcBorders>
              <w:top w:val="nil"/>
              <w:left w:val="single" w:sz="6" w:space="0" w:color="auto"/>
              <w:bottom w:val="nil"/>
              <w:right w:val="single" w:sz="6" w:space="0" w:color="auto"/>
            </w:tcBorders>
            <w:shd w:val="clear" w:color="auto" w:fill="FFFFFF"/>
          </w:tcPr>
          <w:p w14:paraId="231C7AA4" w14:textId="77777777" w:rsidR="00920285" w:rsidRDefault="00CD626E">
            <w:pPr>
              <w:widowControl w:val="0"/>
              <w:shd w:val="clear" w:color="auto" w:fill="FFFFFF"/>
              <w:rPr>
                <w:sz w:val="22"/>
              </w:rPr>
            </w:pPr>
            <w:r>
              <w:rPr>
                <w:sz w:val="22"/>
              </w:rPr>
              <w:t>Palaikomoji reabilitacija dėl regos ir klausos funkcijos sutrikimo</w:t>
            </w:r>
          </w:p>
        </w:tc>
        <w:tc>
          <w:tcPr>
            <w:tcW w:w="2349" w:type="dxa"/>
            <w:tcBorders>
              <w:top w:val="nil"/>
              <w:left w:val="single" w:sz="6" w:space="0" w:color="auto"/>
              <w:bottom w:val="nil"/>
              <w:right w:val="single" w:sz="6" w:space="0" w:color="auto"/>
            </w:tcBorders>
            <w:shd w:val="clear" w:color="auto" w:fill="FFFFFF"/>
          </w:tcPr>
          <w:p w14:paraId="231C7AA5" w14:textId="77777777" w:rsidR="00920285" w:rsidRDefault="00CD626E">
            <w:pPr>
              <w:widowControl w:val="0"/>
              <w:shd w:val="clear" w:color="auto" w:fill="FFFFFF"/>
              <w:ind w:left="210"/>
              <w:rPr>
                <w:sz w:val="22"/>
              </w:rPr>
            </w:pPr>
            <w:r>
              <w:rPr>
                <w:sz w:val="22"/>
              </w:rPr>
              <w:t>86,8</w:t>
            </w:r>
          </w:p>
        </w:tc>
        <w:tc>
          <w:tcPr>
            <w:tcW w:w="2357" w:type="dxa"/>
            <w:tcBorders>
              <w:top w:val="nil"/>
              <w:left w:val="single" w:sz="6" w:space="0" w:color="auto"/>
              <w:bottom w:val="nil"/>
              <w:right w:val="nil"/>
            </w:tcBorders>
            <w:shd w:val="clear" w:color="auto" w:fill="FFFFFF"/>
          </w:tcPr>
          <w:p w14:paraId="231C7AA6" w14:textId="77777777" w:rsidR="00920285" w:rsidRDefault="00CD626E">
            <w:pPr>
              <w:widowControl w:val="0"/>
              <w:shd w:val="clear" w:color="auto" w:fill="FFFFFF"/>
              <w:ind w:left="210"/>
              <w:rPr>
                <w:sz w:val="22"/>
              </w:rPr>
            </w:pPr>
            <w:r>
              <w:rPr>
                <w:sz w:val="22"/>
              </w:rPr>
              <w:t>88,7</w:t>
            </w:r>
          </w:p>
        </w:tc>
      </w:tr>
      <w:tr w:rsidR="00920285" w14:paraId="231C7AAC" w14:textId="77777777">
        <w:trPr>
          <w:cantSplit/>
          <w:trHeight w:val="25"/>
        </w:trPr>
        <w:tc>
          <w:tcPr>
            <w:tcW w:w="518" w:type="dxa"/>
            <w:tcBorders>
              <w:top w:val="nil"/>
              <w:left w:val="nil"/>
              <w:bottom w:val="single" w:sz="6" w:space="0" w:color="auto"/>
              <w:right w:val="single" w:sz="6" w:space="0" w:color="auto"/>
            </w:tcBorders>
            <w:shd w:val="clear" w:color="auto" w:fill="FFFFFF"/>
          </w:tcPr>
          <w:p w14:paraId="231C7AA8" w14:textId="77777777" w:rsidR="00920285" w:rsidRDefault="00CD626E">
            <w:pPr>
              <w:widowControl w:val="0"/>
              <w:shd w:val="clear" w:color="auto" w:fill="FFFFFF"/>
              <w:rPr>
                <w:sz w:val="22"/>
              </w:rPr>
            </w:pPr>
            <w:r>
              <w:rPr>
                <w:sz w:val="22"/>
              </w:rPr>
              <w:t>8.</w:t>
            </w:r>
          </w:p>
        </w:tc>
        <w:tc>
          <w:tcPr>
            <w:tcW w:w="3912" w:type="dxa"/>
            <w:tcBorders>
              <w:top w:val="nil"/>
              <w:left w:val="single" w:sz="6" w:space="0" w:color="auto"/>
              <w:bottom w:val="single" w:sz="6" w:space="0" w:color="auto"/>
              <w:right w:val="single" w:sz="6" w:space="0" w:color="auto"/>
            </w:tcBorders>
            <w:shd w:val="clear" w:color="auto" w:fill="FFFFFF"/>
          </w:tcPr>
          <w:p w14:paraId="231C7AA9" w14:textId="77777777" w:rsidR="00920285" w:rsidRDefault="00CD626E">
            <w:pPr>
              <w:widowControl w:val="0"/>
              <w:shd w:val="clear" w:color="auto" w:fill="FFFFFF"/>
              <w:rPr>
                <w:sz w:val="22"/>
              </w:rPr>
            </w:pPr>
            <w:r>
              <w:rPr>
                <w:sz w:val="22"/>
              </w:rPr>
              <w:t>Vaiką slaugantis asmuo</w:t>
            </w:r>
          </w:p>
        </w:tc>
        <w:tc>
          <w:tcPr>
            <w:tcW w:w="2349" w:type="dxa"/>
            <w:tcBorders>
              <w:top w:val="nil"/>
              <w:left w:val="single" w:sz="6" w:space="0" w:color="auto"/>
              <w:bottom w:val="single" w:sz="6" w:space="0" w:color="auto"/>
              <w:right w:val="single" w:sz="6" w:space="0" w:color="auto"/>
            </w:tcBorders>
            <w:shd w:val="clear" w:color="auto" w:fill="FFFFFF"/>
          </w:tcPr>
          <w:p w14:paraId="231C7AAA" w14:textId="77777777" w:rsidR="00920285" w:rsidRDefault="00CD626E">
            <w:pPr>
              <w:widowControl w:val="0"/>
              <w:shd w:val="clear" w:color="auto" w:fill="FFFFFF"/>
              <w:ind w:left="210"/>
              <w:rPr>
                <w:sz w:val="22"/>
              </w:rPr>
            </w:pPr>
            <w:r>
              <w:rPr>
                <w:sz w:val="22"/>
              </w:rPr>
              <w:t>28,9</w:t>
            </w:r>
          </w:p>
        </w:tc>
        <w:tc>
          <w:tcPr>
            <w:tcW w:w="2357" w:type="dxa"/>
            <w:tcBorders>
              <w:top w:val="nil"/>
              <w:left w:val="single" w:sz="6" w:space="0" w:color="auto"/>
              <w:bottom w:val="single" w:sz="6" w:space="0" w:color="auto"/>
              <w:right w:val="nil"/>
            </w:tcBorders>
            <w:shd w:val="clear" w:color="auto" w:fill="FFFFFF"/>
          </w:tcPr>
          <w:p w14:paraId="231C7AAB" w14:textId="77777777" w:rsidR="00920285" w:rsidRDefault="00CD626E">
            <w:pPr>
              <w:widowControl w:val="0"/>
              <w:shd w:val="clear" w:color="auto" w:fill="FFFFFF"/>
              <w:ind w:left="210"/>
              <w:rPr>
                <w:sz w:val="22"/>
              </w:rPr>
            </w:pPr>
            <w:r>
              <w:rPr>
                <w:sz w:val="22"/>
              </w:rPr>
              <w:t>–</w:t>
            </w:r>
          </w:p>
        </w:tc>
      </w:tr>
    </w:tbl>
    <w:p w14:paraId="231C7AAD" w14:textId="77777777" w:rsidR="00920285" w:rsidRDefault="00CD626E">
      <w:pPr>
        <w:jc w:val="right"/>
      </w:pPr>
      <w:r>
        <w:t>“</w:t>
      </w:r>
    </w:p>
    <w:p w14:paraId="231C7AAE" w14:textId="77777777" w:rsidR="00920285" w:rsidRDefault="00CD626E">
      <w:pPr>
        <w:widowControl w:val="0"/>
        <w:shd w:val="clear" w:color="auto" w:fill="FFFFFF"/>
        <w:ind w:firstLine="567"/>
        <w:jc w:val="both"/>
      </w:pPr>
      <w:r>
        <w:t>1.1.2</w:t>
      </w:r>
      <w:r>
        <w:t>. 11 punktą išdėstau taip:</w:t>
      </w:r>
    </w:p>
    <w:p w14:paraId="231C7AAF" w14:textId="77777777" w:rsidR="00920285" w:rsidRDefault="00CD626E">
      <w:pPr>
        <w:widowControl w:val="0"/>
        <w:shd w:val="clear" w:color="auto" w:fill="FFFFFF"/>
        <w:ind w:firstLine="567"/>
        <w:jc w:val="both"/>
      </w:pPr>
      <w:r>
        <w:t>„</w:t>
      </w:r>
      <w:r>
        <w:t>11</w:t>
      </w:r>
      <w:r>
        <w:t>. Vaikų sanatorinio (antirecidyvinio) gydymo paslaugų vieno lovadienio bazinė kaina – 68,2 Lt.“</w:t>
      </w:r>
    </w:p>
    <w:p w14:paraId="231C7AB0" w14:textId="77777777" w:rsidR="00920285" w:rsidRDefault="00CD626E">
      <w:pPr>
        <w:widowControl w:val="0"/>
        <w:shd w:val="clear" w:color="auto" w:fill="FFFFFF"/>
        <w:ind w:firstLine="567"/>
        <w:jc w:val="both"/>
      </w:pPr>
      <w:r>
        <w:t>1.2</w:t>
      </w:r>
      <w:r>
        <w:t xml:space="preserve">. Nurodytuoju įsakymu patvirtinto „Medicininės reabilitacijos paslaugų etapų. Suaugusiųjų atrankos ir </w:t>
      </w:r>
      <w:r>
        <w:t>siuntimo į medicininės reabilitacijos sveikatos priežiūros įstaigas tvarkos aprašo. Medicininės reabilitacijos paslaugų suaugusiesiems teikimo bendrųjų reikalavimų aprašo“:</w:t>
      </w:r>
    </w:p>
    <w:p w14:paraId="231C7AB1" w14:textId="77777777" w:rsidR="00920285" w:rsidRDefault="00CD626E">
      <w:pPr>
        <w:widowControl w:val="0"/>
        <w:shd w:val="clear" w:color="auto" w:fill="FFFFFF"/>
        <w:ind w:firstLine="567"/>
        <w:jc w:val="both"/>
      </w:pPr>
      <w:r>
        <w:t>1.2.1</w:t>
      </w:r>
      <w:r>
        <w:t>. 4.1 punktą išdėstau taip:</w:t>
      </w:r>
    </w:p>
    <w:p w14:paraId="231C7AB2" w14:textId="77777777" w:rsidR="00920285" w:rsidRDefault="00CD626E">
      <w:pPr>
        <w:widowControl w:val="0"/>
        <w:shd w:val="clear" w:color="auto" w:fill="FFFFFF"/>
        <w:ind w:firstLine="567"/>
        <w:jc w:val="both"/>
      </w:pPr>
      <w:r>
        <w:t>„</w:t>
      </w:r>
      <w:r>
        <w:t>4.1</w:t>
      </w:r>
      <w:r>
        <w:t>. Pakartotinė reabilitacija skiriama asmen</w:t>
      </w:r>
      <w:r>
        <w:t xml:space="preserve">ims, pripažintiems nedarbingais, kuriems teisės aktų nustatyta tvarka pripažintas 0–25 proc. darbingumo lygis; asmenims, sulaukusiems </w:t>
      </w:r>
      <w:r>
        <w:lastRenderedPageBreak/>
        <w:t>senatvės pensijos amžiaus, kuriems teisės aktų nustatyta tvarka yra pripažintas didelis specialiųjų poreikių lygis; iš dal</w:t>
      </w:r>
      <w:r>
        <w:t>ies darbingiems asmenims, kuriems teisės aktų numatyta tvarka nustatytas 30–40 proc. darbingumo lygis, pirmuosius 3 metus po Neįgalumo ir darbingumo nustatymo tarnybos prie Socialinės apsaugos ir darbo ministerijos (toliau – NDNT) nustatyto darbingumo suma</w:t>
      </w:r>
      <w:r>
        <w:t>žėjimo ar specialiųjų poreikių padidėjimo dėl šių priežasčių pagal Tarptautinę statistinę ligų ir sveikatos problemų klasifikaciją (dešimtoji redakcija): A 84–85; A 87; A 89; B 02.1–2; C 41.2; C 70.0; C 70.1; C 71; C 72.0; C 72.2–8; D 16.6; D 32.0; D 32.1;</w:t>
      </w:r>
      <w:r>
        <w:t xml:space="preserve"> D 33.0; D 33.1; D 33.4 (G 00; G 03–04; G 06.0 – tik pirmus metus nuo susirgimo pradžios); G 09; G 10–G 13; G 20–G 21; G 23; G 35, G 37; G 60–63; G 70–G 71; G 80–G 83; G 93.0–1; G 95.0–2; G 99.2 (I 60–I 64 – tik pirmus metus nuo susirgimo pradžios); I 69.0</w:t>
      </w:r>
      <w:r>
        <w:t>–69.8; M 02–M 03; M 05–M 06; M 07; M 08; M 10; M 11; M 16; M 17; M 19; M 30–35; M 43.1; M 45; M 47.2; M 48.0 (S 14.0; S 14.1; S 24.0; S 24.1; S 34.0; S 34.1; S 34.3 – tik pirmus metus po sužalojimo); S 72; T 02 (S 06; T 09.3 – tik pirmus metus po sužalojim</w:t>
      </w:r>
      <w:r>
        <w:t>o); T 90.5; T 91.3. Pakartotinės reabilitacijos trukmė 24 dienos.“</w:t>
      </w:r>
    </w:p>
    <w:p w14:paraId="231C7AB3" w14:textId="77777777" w:rsidR="00920285" w:rsidRDefault="00CD626E">
      <w:pPr>
        <w:widowControl w:val="0"/>
        <w:shd w:val="clear" w:color="auto" w:fill="FFFFFF"/>
        <w:ind w:firstLine="567"/>
        <w:jc w:val="both"/>
      </w:pPr>
      <w:r>
        <w:t>1.2.2</w:t>
      </w:r>
      <w:r>
        <w:t>. 26.1.1 punktą išdėstau taip:</w:t>
      </w:r>
    </w:p>
    <w:p w14:paraId="231C7AB4" w14:textId="77777777" w:rsidR="00920285" w:rsidRDefault="00CD626E">
      <w:pPr>
        <w:widowControl w:val="0"/>
        <w:shd w:val="clear" w:color="auto" w:fill="FFFFFF"/>
        <w:ind w:firstLine="567"/>
        <w:jc w:val="both"/>
      </w:pPr>
      <w:r>
        <w:t>„</w:t>
      </w:r>
      <w:r>
        <w:t>26.1.1</w:t>
      </w:r>
      <w:r>
        <w:t>. reanimacijos ir intensyviosios terapijos, šios paslaugos teikiamos vadovaujantis Reanimacijos ir intensyviosios terapijos paslaugų (reanimacijos I-2) teikimo suaugusiesiems sąlygų ir tvarkos aprašo, patvirtinto Lietuvos Respublikos sveikatos apsaugos min</w:t>
      </w:r>
      <w:r>
        <w:t xml:space="preserve">istro 2005 m. spalio 27 d. įsakymu Nr. V-827 „Dėl reanimacijos ir intensyviosios terapijos paslaugų teikimo vaikams ir suaugusiesiems sąlygų ir tvarkos aprašų patvirtinimo“ (Žin., 2005, Nr. </w:t>
      </w:r>
      <w:hyperlink r:id="rId12" w:tgtFrame="_blank" w:history="1">
        <w:r>
          <w:rPr>
            <w:color w:val="0000FF" w:themeColor="hyperlink"/>
            <w:u w:val="single"/>
          </w:rPr>
          <w:t>128-4644</w:t>
        </w:r>
      </w:hyperlink>
      <w:r>
        <w:t>), 7.1, 7.2, 7.5, 7.9, 8.2, 8.3, 8.4, 10.1, 10.2, 10.3, 10.4, 10.5, 11.1, 11.2, 11.3, 11.4, 11.10, 12, 13 punktais. Fizinės medicinos ir reabilitacijos gydytojai, dirbantys medicininės reabilitacijos paslaugas teikiančiose asmens sveik</w:t>
      </w:r>
      <w:r>
        <w:t>atos priežiūros įstaigose, kuriose neteikiamos reanimacijos II ir reanimacijos III paslaugos, iki 2009 m. gruodžio 31 d. ir vėliau, ne rečiau kaip kas penkeri metai, turi išklausyti ne mažiau kaip 18 valandų reanimacijos ir intensyviosios terapijos paslaug</w:t>
      </w:r>
      <w:r>
        <w:t>ų teikimo tobulinimosi kursą, suderintą su Lietuvos Respublikos sveikatos apsaugos ministerija, ir gauti pažymėjimą;“.</w:t>
      </w:r>
    </w:p>
    <w:p w14:paraId="231C7AB5" w14:textId="77777777" w:rsidR="00920285" w:rsidRDefault="00CD626E">
      <w:pPr>
        <w:widowControl w:val="0"/>
        <w:shd w:val="clear" w:color="auto" w:fill="FFFFFF"/>
        <w:ind w:firstLine="567"/>
        <w:jc w:val="both"/>
      </w:pPr>
      <w:r>
        <w:t>1.2.3</w:t>
      </w:r>
      <w:r>
        <w:t>. 27.1.1 punktą išdėstau taip:</w:t>
      </w:r>
    </w:p>
    <w:p w14:paraId="231C7AB6" w14:textId="77777777" w:rsidR="00920285" w:rsidRDefault="00CD626E">
      <w:pPr>
        <w:widowControl w:val="0"/>
        <w:shd w:val="clear" w:color="auto" w:fill="FFFFFF"/>
        <w:ind w:firstLine="567"/>
        <w:jc w:val="both"/>
      </w:pPr>
      <w:r>
        <w:t>„</w:t>
      </w:r>
      <w:r>
        <w:t>27.1.1</w:t>
      </w:r>
      <w:r>
        <w:t>. reanimacijos ir intensyviosios terapijos, šios paslaugos teikiamos vadovaujantis R</w:t>
      </w:r>
      <w:r>
        <w:t>eanimacijos ir intensyviosios terapijos paslaugų (reanimacijos I-2) teikimo suaugusiesiems sąlygų ir tvarkos aprašo, patvirtinto Lietuvos Respublikos sveikatos apsaugos ministro 2005 m. spalio 27 d. įsakymu Nr. V-827 „Dėl reanimacijos ir intensyviosios ter</w:t>
      </w:r>
      <w:r>
        <w:t xml:space="preserve">apijos paslaugų teikimo vaikams ir suaugusiesiems sąlygų ir tvarkos aprašų patvirtinimo“ (Žin., 2005, Nr. </w:t>
      </w:r>
      <w:hyperlink r:id="rId13" w:tgtFrame="_blank" w:history="1">
        <w:r>
          <w:rPr>
            <w:color w:val="0000FF" w:themeColor="hyperlink"/>
            <w:u w:val="single"/>
          </w:rPr>
          <w:t>128-4644</w:t>
        </w:r>
      </w:hyperlink>
      <w:r>
        <w:t>), 7.1, 7.2, 7.5, 7.9, 8.2, 8.3, 8.4, 10.1, 10.2, 10.3, 10.4, 1</w:t>
      </w:r>
      <w:r>
        <w:t>0.5, 11.1, 11.2, 11.3, 11.4, 11.10, 12, 13 punktais. Fizinės medicinos ir reabilitacijos gydytojai, dirbantys medicininės reabilitacijos paslaugas teikiančiose asmens sveikatos priežiūros įstaigose, kuriose neteikiamos reanimacijos II ir reanimacijos III p</w:t>
      </w:r>
      <w:r>
        <w:t>aslaugos, iki 2009 m. gruodžio 31 d. ir vėliau, ne rečiau kaip kas penkeri metai, turi išklausyti ne mažiau kaip 18 valandų reanimacijos ir intensyviosios terapijos paslaugų teikimo tobulinimosi kursą, suderintą su Lietuvos Respublikos sveikatos apsaugos m</w:t>
      </w:r>
      <w:r>
        <w:t>inisterija, ir gauti pažymėjimą;“</w:t>
      </w:r>
    </w:p>
    <w:p w14:paraId="231C7AB7" w14:textId="77777777" w:rsidR="00920285" w:rsidRDefault="00CD626E">
      <w:pPr>
        <w:widowControl w:val="0"/>
        <w:shd w:val="clear" w:color="auto" w:fill="FFFFFF"/>
        <w:ind w:firstLine="567"/>
        <w:jc w:val="both"/>
      </w:pPr>
      <w:r>
        <w:t>2</w:t>
      </w:r>
      <w:r>
        <w:t xml:space="preserve">. </w:t>
      </w:r>
      <w:r>
        <w:rPr>
          <w:spacing w:val="60"/>
        </w:rPr>
        <w:t>Nustata</w:t>
      </w:r>
      <w:r>
        <w:t>u, kad šio įsakymo 1.1 punktas taikomas atsiskaitant už paslaugas, suteiktas nuo 2008 m. gegužės 1 d.</w:t>
      </w:r>
    </w:p>
    <w:p w14:paraId="231C7AB9" w14:textId="55F30ACB" w:rsidR="00920285" w:rsidRDefault="00CD626E" w:rsidP="00CD626E">
      <w:pPr>
        <w:widowControl w:val="0"/>
        <w:shd w:val="clear" w:color="auto" w:fill="FFFFFF"/>
        <w:ind w:firstLine="567"/>
        <w:jc w:val="both"/>
      </w:pPr>
      <w:r>
        <w:t>3</w:t>
      </w:r>
      <w:r>
        <w:t xml:space="preserve">. </w:t>
      </w:r>
      <w:r>
        <w:rPr>
          <w:spacing w:val="60"/>
        </w:rPr>
        <w:t>Pavedu</w:t>
      </w:r>
      <w:r>
        <w:t xml:space="preserve"> ministerijos sekretoriui kontroliuoti šio įsakymo vykdymą pagal administruojamą srit</w:t>
      </w:r>
      <w:r>
        <w:t>į.</w:t>
      </w:r>
    </w:p>
    <w:p w14:paraId="2E5D2305" w14:textId="7EC55488" w:rsidR="00CD626E" w:rsidRDefault="00CD626E">
      <w:pPr>
        <w:widowControl w:val="0"/>
        <w:shd w:val="clear" w:color="auto" w:fill="FFFFFF"/>
      </w:pPr>
    </w:p>
    <w:p w14:paraId="37E14FF1" w14:textId="77777777" w:rsidR="00CD626E" w:rsidRDefault="00CD626E">
      <w:pPr>
        <w:widowControl w:val="0"/>
        <w:shd w:val="clear" w:color="auto" w:fill="FFFFFF"/>
      </w:pPr>
    </w:p>
    <w:p w14:paraId="59C49AE1" w14:textId="77777777" w:rsidR="00CD626E" w:rsidRDefault="00CD626E">
      <w:pPr>
        <w:widowControl w:val="0"/>
        <w:shd w:val="clear" w:color="auto" w:fill="FFFFFF"/>
      </w:pPr>
    </w:p>
    <w:p w14:paraId="231C7ABA" w14:textId="46153D66" w:rsidR="00920285" w:rsidRDefault="00CD626E">
      <w:pPr>
        <w:widowControl w:val="0"/>
        <w:shd w:val="clear" w:color="auto" w:fill="FFFFFF"/>
      </w:pPr>
      <w:r>
        <w:t>SOCIALINĖS APSAUGOS IR DARBO MINISTRĖ,</w:t>
      </w:r>
    </w:p>
    <w:p w14:paraId="231C7ABD" w14:textId="20808161" w:rsidR="00920285" w:rsidRDefault="00CD626E" w:rsidP="00CD626E">
      <w:pPr>
        <w:widowControl w:val="0"/>
        <w:shd w:val="clear" w:color="auto" w:fill="FFFFFF"/>
        <w:tabs>
          <w:tab w:val="right" w:pos="9071"/>
        </w:tabs>
      </w:pPr>
      <w:r>
        <w:t>PAVADUOJANTI SVEIKATOS APSAUGOS MINISTRĄ</w:t>
      </w:r>
      <w:r>
        <w:tab/>
        <w:t>VILIJA BLINKEVIČIŪTĖ</w:t>
      </w:r>
    </w:p>
    <w:bookmarkStart w:id="0" w:name="_GoBack" w:displacedByCustomXml="next"/>
    <w:bookmarkEnd w:id="0" w:displacedByCustomXml="next"/>
    <w:sectPr w:rsidR="00920285">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7A"/>
    <w:rsid w:val="002C397A"/>
    <w:rsid w:val="00920285"/>
    <w:rsid w:val="00CD626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1C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62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D62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28500FDBAEE"/>
  <Relationship Id="rId11" Type="http://schemas.openxmlformats.org/officeDocument/2006/relationships/hyperlink" TargetMode="External" Target="https://www.e-tar.lt/portal/lt/legalAct/TAR.95CA72D47218"/>
  <Relationship Id="rId12" Type="http://schemas.openxmlformats.org/officeDocument/2006/relationships/hyperlink" TargetMode="External" Target="https://www.e-tar.lt/portal/lt/legalAct/TAR.81A9AC71E954"/>
  <Relationship Id="rId13" Type="http://schemas.openxmlformats.org/officeDocument/2006/relationships/hyperlink" TargetMode="External" Target="https://www.e-tar.lt/portal/lt/legalAct/TAR.81A9AC71E954"/>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94F6B680E8B8"/>
  <Relationship Id="rId9" Type="http://schemas.openxmlformats.org/officeDocument/2006/relationships/hyperlink" TargetMode="External" Target="https://www.e-tar.lt/portal/lt/legalAct/TAR.8AC83320B76A"/>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42"/>
    <w:rsid w:val="00142C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2C4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2C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4358</Words>
  <Characters>2485</Characters>
  <Application>Microsoft Office Word</Application>
  <DocSecurity>0</DocSecurity>
  <Lines>20</Lines>
  <Paragraphs>13</Paragraphs>
  <ScaleCrop>false</ScaleCrop>
  <Company>Teisines informacijos centras</Company>
  <LinksUpToDate>false</LinksUpToDate>
  <CharactersWithSpaces>6830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2015-06-23T15:49:00Z</dcterms:created>
  <dc:creator>Sandra</dc:creator>
  <lastModifiedBy>PETRAUSKAITĖ Girmantė</lastModifiedBy>
  <dcterms:modified xsi:type="dcterms:W3CDTF">2016-02-24T06:53:00Z</dcterms:modified>
  <revision>3</revision>
  <dc:title>LIETUVOS RESPUBLIKOS SVEIKATOS APSAUGOS MINISTRO</dc:title>
</coreProperties>
</file>