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0A80E432" w14:textId="77777777">
      <w:pPr>
        <w:jc w:val="center"/>
        <w:rPr>
          <w:b/>
          <w:color w:val="000000"/>
        </w:rPr>
      </w:pPr>
      <w:r>
        <w:rPr>
          <w:b/>
          <w:color w:val="000000"/>
          <w:lang w:eastAsia="lt-LT"/>
        </w:rPr>
        <w:pict w14:anchorId="0A80E457">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Pr>
          <w:b/>
          <w:color w:val="000000"/>
        </w:rPr>
        <w:t>LIETUVOS RESPUBLIKOS VYRIAUSYBĖ</w:t>
      </w:r>
    </w:p>
    <w:p w14:paraId="0A80E433" w14:textId="77777777">
      <w:pPr>
        <w:jc w:val="center"/>
        <w:rPr>
          <w:color w:val="000000"/>
        </w:rPr>
      </w:pPr>
    </w:p>
    <w:p w14:paraId="0A80E434" w14:textId="77777777">
      <w:pPr>
        <w:jc w:val="center"/>
        <w:rPr>
          <w:b/>
          <w:color w:val="000000"/>
        </w:rPr>
      </w:pPr>
      <w:r>
        <w:rPr>
          <w:b/>
          <w:color w:val="000000"/>
        </w:rPr>
        <w:t>N U T A R I M A S</w:t>
      </w:r>
    </w:p>
    <w:p w14:paraId="0A80E435" w14:textId="77777777">
      <w:pPr>
        <w:jc w:val="center"/>
        <w:rPr>
          <w:b/>
          <w:color w:val="000000"/>
        </w:rPr>
      </w:pPr>
      <w:r>
        <w:rPr>
          <w:b/>
          <w:color w:val="000000"/>
        </w:rPr>
        <w:t>DĖL LIETUVOS RESPUBLIKOS VYRIAUSYBĖS 2002 M. BIRŽELIO 4 D. NUTARIMO NR. 821 „DĖL AKCIZŲ ĮSTATYMO NUOSTATŲ ĮGYVENDINIMO“ PAKEITIMO</w:t>
      </w:r>
    </w:p>
    <w:p w14:paraId="0A80E436" w14:textId="77777777">
      <w:pPr>
        <w:jc w:val="center"/>
        <w:rPr>
          <w:color w:val="000000"/>
        </w:rPr>
      </w:pPr>
    </w:p>
    <w:p w14:paraId="0A80E437" w14:textId="77777777">
      <w:pPr>
        <w:jc w:val="center"/>
        <w:rPr>
          <w:color w:val="000000"/>
        </w:rPr>
      </w:pPr>
      <w:r>
        <w:rPr>
          <w:color w:val="000000"/>
        </w:rPr>
        <w:t>2007 m. vasario 7 d. Nr. 176</w:t>
      </w:r>
    </w:p>
    <w:p w14:paraId="0A80E438" w14:textId="77777777">
      <w:pPr>
        <w:jc w:val="center"/>
        <w:rPr>
          <w:color w:val="000000"/>
        </w:rPr>
      </w:pPr>
      <w:r>
        <w:rPr>
          <w:color w:val="000000"/>
        </w:rPr>
        <w:t>Vilnius</w:t>
      </w:r>
    </w:p>
    <w:p w14:paraId="0A80E439" w14:textId="77777777">
      <w:pPr>
        <w:jc w:val="center"/>
        <w:rPr>
          <w:color w:val="000000"/>
        </w:rPr>
      </w:pPr>
    </w:p>
    <w:p w14:paraId="0A80E43A" w14:textId="77777777">
      <w:pPr>
        <w:ind w:firstLine="709"/>
        <w:jc w:val="both"/>
        <w:rPr>
          <w:color w:val="000000"/>
        </w:rPr>
      </w:pPr>
      <w:r>
        <w:rPr>
          <w:color w:val="000000"/>
        </w:rPr>
        <w:t>Lietuvos Respublikos Vyriausybė</w:t>
      </w:r>
      <w:r>
        <w:rPr>
          <w:color w:val="000000"/>
          <w:spacing w:val="80"/>
        </w:rPr>
        <w:t xml:space="preserve"> </w:t>
      </w:r>
      <w:r>
        <w:rPr>
          <w:color w:val="000000"/>
          <w:spacing w:val="60"/>
        </w:rPr>
        <w:t>nutari</w:t>
      </w:r>
      <w:r>
        <w:rPr>
          <w:color w:val="000000"/>
        </w:rPr>
        <w:t>a:</w:t>
      </w:r>
    </w:p>
    <w:p w14:paraId="0A80E43B" w14:textId="77777777">
      <w:pPr>
        <w:ind w:firstLine="709"/>
        <w:jc w:val="both"/>
        <w:rPr>
          <w:color w:val="000000"/>
        </w:rPr>
      </w:pPr>
      <w:r>
        <w:rPr>
          <w:color w:val="000000"/>
        </w:rPr>
        <w:t>1</w:t>
      </w:r>
      <w:r>
        <w:rPr>
          <w:color w:val="000000"/>
        </w:rPr>
        <w:t xml:space="preserve">. Pakeisti Lietuvos Respublikos Vyriausybės 2002 m. birželio 4 d. nutarimą </w:t>
      </w:r>
      <w:r>
        <w:rPr>
          <w:iCs/>
          <w:color w:val="000000"/>
        </w:rPr>
        <w:t>Nr. 821</w:t>
      </w:r>
      <w:r>
        <w:rPr>
          <w:color w:val="000000"/>
        </w:rPr>
        <w:t xml:space="preserve"> „Dėl </w:t>
      </w:r>
      <w:r>
        <w:rPr>
          <w:iCs/>
          <w:color w:val="000000"/>
        </w:rPr>
        <w:t>Akcizų įstatymo</w:t>
      </w:r>
      <w:r>
        <w:rPr>
          <w:color w:val="000000"/>
        </w:rPr>
        <w:t xml:space="preserve"> nuostatų įgyvendinimo“ (Žin., 2002, Nr. </w:t>
      </w:r>
      <w:fldSimple w:instr="HYPERLINK https://www.e-tar.lt/portal/lt/legalAct/TAR.483A0EF1DEA0 \t _blank">
        <w:r>
          <w:rPr>
            <w:iCs/>
            <w:color w:val="0000FF" w:themeColor="hyperlink"/>
            <w:u w:val="single"/>
          </w:rPr>
          <w:t>56-2264</w:t>
        </w:r>
      </w:fldSimple>
      <w:r>
        <w:rPr>
          <w:color w:val="000000"/>
        </w:rPr>
        <w:t>; 2004, Nr. </w:t>
      </w:r>
      <w:fldSimple w:instr="HYPERLINK https://www.e-tar.lt/portal/lt/legalAct/TAR.BB526633134A \t _blank">
        <w:r>
          <w:rPr>
            <w:color w:val="0000FF" w:themeColor="hyperlink"/>
            <w:u w:val="single"/>
          </w:rPr>
          <w:t>58-2051</w:t>
        </w:r>
      </w:fldSimple>
      <w:r>
        <w:rPr>
          <w:color w:val="000000"/>
        </w:rPr>
        <w:t>):</w:t>
      </w:r>
    </w:p>
    <w:p w14:paraId="0A80E43C" w14:textId="77777777">
      <w:pPr>
        <w:ind w:firstLine="709"/>
        <w:jc w:val="both"/>
        <w:rPr>
          <w:color w:val="000000"/>
        </w:rPr>
      </w:pPr>
      <w:r>
        <w:rPr>
          <w:color w:val="000000"/>
        </w:rPr>
        <w:t>1.1</w:t>
      </w:r>
      <w:r>
        <w:rPr>
          <w:color w:val="000000"/>
        </w:rPr>
        <w:t>. Nurodytuoju nutarimu patvirtintuose atvejuose, kai gali būti leidžiama steigti akcizais apmokestinamų prekių sandėlį:</w:t>
      </w:r>
    </w:p>
    <w:p w14:paraId="0A80E43D" w14:textId="77777777">
      <w:pPr>
        <w:ind w:firstLine="709"/>
        <w:jc w:val="both"/>
        <w:rPr>
          <w:color w:val="000000"/>
        </w:rPr>
      </w:pPr>
      <w:r>
        <w:rPr>
          <w:color w:val="000000"/>
        </w:rPr>
        <w:t>1.1.1</w:t>
      </w:r>
      <w:r>
        <w:rPr>
          <w:color w:val="000000"/>
        </w:rPr>
        <w:t>. Išdėstyti 2.2 punktą taip:</w:t>
      </w:r>
    </w:p>
    <w:p w14:paraId="0A80E43E" w14:textId="77777777">
      <w:pPr>
        <w:ind w:firstLine="709"/>
        <w:jc w:val="both"/>
        <w:rPr>
          <w:color w:val="000000"/>
        </w:rPr>
      </w:pPr>
      <w:r>
        <w:rPr>
          <w:color w:val="000000"/>
        </w:rPr>
        <w:t>„</w:t>
      </w:r>
      <w:r>
        <w:rPr>
          <w:color w:val="000000"/>
        </w:rPr>
        <w:t>2.2</w:t>
      </w:r>
      <w:r>
        <w:rPr>
          <w:color w:val="000000"/>
        </w:rPr>
        <w:t>. 2 mln. litų – jeigu pageidaujama steigti sandėlį, kuriame taikant akcizų mokėjimo laikino atidėjimo režimą būtų laikomas kuras ir etilo alkoholis bei alkoholiniai gėrimai ir (arba) apdorotas tabakas;“.</w:t>
      </w:r>
    </w:p>
    <w:p w14:paraId="0A80E43F" w14:textId="77777777">
      <w:pPr>
        <w:ind w:firstLine="709"/>
        <w:jc w:val="both"/>
        <w:rPr>
          <w:color w:val="000000"/>
        </w:rPr>
      </w:pPr>
      <w:r>
        <w:rPr>
          <w:color w:val="000000"/>
        </w:rPr>
        <w:t>1.1.2</w:t>
      </w:r>
      <w:r>
        <w:rPr>
          <w:color w:val="000000"/>
        </w:rPr>
        <w:t>. Papildyti šiuo 2.4 punktu:</w:t>
      </w:r>
    </w:p>
    <w:p w14:paraId="0A80E440" w14:textId="77777777">
      <w:pPr>
        <w:ind w:firstLine="709"/>
        <w:jc w:val="both"/>
        <w:rPr>
          <w:color w:val="000000"/>
        </w:rPr>
      </w:pPr>
      <w:r>
        <w:rPr>
          <w:color w:val="000000"/>
        </w:rPr>
        <w:t>„</w:t>
      </w:r>
      <w:r>
        <w:rPr>
          <w:color w:val="000000"/>
        </w:rPr>
        <w:t>2.4</w:t>
      </w:r>
      <w:r>
        <w:rPr>
          <w:color w:val="000000"/>
        </w:rPr>
        <w:t>. 0,5 mln. litų – jeigu pageidaujama steigti sandėlį, kuriame taikant akcizų mokėjimo laikino atidėjimo režimą būtų laikomas tik kuras (išskyrus naftos dujas ir dujinius angliavandenilius).“</w:t>
      </w:r>
    </w:p>
    <w:p w14:paraId="0A80E441" w14:textId="77777777">
      <w:pPr>
        <w:ind w:firstLine="709"/>
        <w:jc w:val="both"/>
        <w:rPr>
          <w:color w:val="000000"/>
        </w:rPr>
      </w:pPr>
      <w:r>
        <w:rPr>
          <w:color w:val="000000"/>
        </w:rPr>
        <w:t>1.2</w:t>
      </w:r>
      <w:r>
        <w:rPr>
          <w:color w:val="000000"/>
        </w:rPr>
        <w:t xml:space="preserve">. Nurodytuoju nutarimu patvirtintose Laidavimo už akcizais apmokestinamų prekių sandėlio savininko prievoles dydžio apskaičiavimo ir tikslinimo taisyklėse: </w:t>
      </w:r>
    </w:p>
    <w:p w14:paraId="0A80E442" w14:textId="77777777">
      <w:pPr>
        <w:ind w:firstLine="709"/>
        <w:jc w:val="both"/>
        <w:rPr>
          <w:color w:val="000000"/>
        </w:rPr>
      </w:pPr>
      <w:r>
        <w:rPr>
          <w:color w:val="000000"/>
        </w:rPr>
        <w:t>1.2.1</w:t>
      </w:r>
      <w:r>
        <w:rPr>
          <w:color w:val="000000"/>
        </w:rPr>
        <w:t>. Papildyti nurodytąsias taisykles šiuo 4</w:t>
      </w:r>
      <w:r>
        <w:rPr>
          <w:color w:val="000000"/>
          <w:vertAlign w:val="superscript"/>
        </w:rPr>
        <w:t>1</w:t>
      </w:r>
      <w:r>
        <w:rPr>
          <w:color w:val="000000"/>
        </w:rPr>
        <w:t xml:space="preserve"> punktu:</w:t>
      </w:r>
    </w:p>
    <w:p w14:paraId="0A80E443" w14:textId="77777777">
      <w:pPr>
        <w:ind w:firstLine="709"/>
        <w:jc w:val="both"/>
        <w:rPr>
          <w:color w:val="000000"/>
        </w:rPr>
      </w:pPr>
      <w:r>
        <w:rPr>
          <w:color w:val="000000"/>
        </w:rPr>
        <w:t>„</w:t>
      </w:r>
      <w:r>
        <w:rPr>
          <w:color w:val="000000"/>
        </w:rPr>
        <w:t>4</w:t>
      </w:r>
      <w:r>
        <w:rPr>
          <w:color w:val="000000"/>
          <w:vertAlign w:val="superscript"/>
        </w:rPr>
        <w:t>1</w:t>
      </w:r>
      <w:r>
        <w:rPr>
          <w:color w:val="000000"/>
        </w:rPr>
        <w:t xml:space="preserve">. </w:t>
      </w:r>
      <w:r>
        <w:rPr>
          <w:color w:val="000000"/>
          <w:spacing w:val="-2"/>
        </w:rPr>
        <w:t xml:space="preserve">Laidavimo už akcizais apmokestinamų prekių sandėlio savininko prievoles dydis – </w:t>
      </w:r>
      <w:r>
        <w:rPr>
          <w:color w:val="000000"/>
        </w:rPr>
        <w:t>3 procentai šių taisyklių 1 punkte nurodytos sumos, kai prašymą steigti akcizais apmokestinamų prekių sandėlį pateikia asmuo, kuris atitinka šių taisyklių 4.1 punkte nustatytus reikalavimus ir šiame akcizais apmokestinamų prekių sandėlyje numato gaminti bioetanolį. Bioetanolis suprantamas taip, kaip apibrėžtas Lietuvos Respublikos biokuro, biodegalų ir bioalyvų įstatyme (Žin., 2000, Nr. </w:t>
      </w:r>
      <w:fldSimple w:instr="HYPERLINK https://www.e-tar.lt/portal/lt/legalAct/TAR.A13B217BD1D1 \t _blank">
        <w:r>
          <w:rPr>
            <w:color w:val="0000FF" w:themeColor="hyperlink"/>
            <w:u w:val="single"/>
          </w:rPr>
          <w:t>64-1940</w:t>
        </w:r>
      </w:fldSimple>
      <w:r>
        <w:rPr>
          <w:color w:val="000000"/>
        </w:rPr>
        <w:t>; 2004, Nr. 28-870). Laidavimo už kitas šiame akcizais apmokestinamų prekių sandėlyje numatomas gaminti ar laikyti akcizais apmokestinamas prekes dydis skaičiuojamas pagal šių taisyklių 4 ir (arba) 5 punkto nuostatas.“</w:t>
      </w:r>
    </w:p>
    <w:p w14:paraId="0A80E444" w14:textId="77777777">
      <w:pPr>
        <w:ind w:firstLine="709"/>
        <w:jc w:val="both"/>
        <w:rPr>
          <w:color w:val="000000"/>
        </w:rPr>
      </w:pPr>
      <w:r>
        <w:rPr>
          <w:color w:val="000000"/>
        </w:rPr>
        <w:t>1.2.2</w:t>
      </w:r>
      <w:r>
        <w:rPr>
          <w:color w:val="000000"/>
        </w:rPr>
        <w:t xml:space="preserve">. Išdėstyti 5 punktą taip: </w:t>
      </w:r>
    </w:p>
    <w:p w14:paraId="0A80E445" w14:textId="77777777">
      <w:pPr>
        <w:ind w:firstLine="709"/>
        <w:jc w:val="both"/>
        <w:rPr>
          <w:color w:val="000000"/>
        </w:rPr>
      </w:pPr>
      <w:r>
        <w:rPr>
          <w:color w:val="000000"/>
        </w:rPr>
        <w:t>„</w:t>
      </w:r>
      <w:r>
        <w:rPr>
          <w:color w:val="000000"/>
        </w:rPr>
        <w:t>5</w:t>
      </w:r>
      <w:r>
        <w:rPr>
          <w:color w:val="000000"/>
        </w:rPr>
        <w:t>. Šių taisyklių 4 ir 4</w:t>
      </w:r>
      <w:r>
        <w:rPr>
          <w:color w:val="000000"/>
          <w:vertAlign w:val="superscript"/>
        </w:rPr>
        <w:t>1</w:t>
      </w:r>
      <w:r>
        <w:rPr>
          <w:color w:val="000000"/>
        </w:rPr>
        <w:t xml:space="preserve"> punktuose nenustatytais atvejais laidavimo už akcizais apmokestinamų prekių sandėlio savininko prievoles dydis – 100 procentų šių taisyklių 1 punkte nurodytos akcizų sumos.“</w:t>
      </w:r>
    </w:p>
    <w:p w14:paraId="0A80E446" w14:textId="77777777">
      <w:pPr>
        <w:ind w:firstLine="709"/>
        <w:jc w:val="both"/>
        <w:rPr>
          <w:color w:val="000000"/>
        </w:rPr>
      </w:pPr>
      <w:r>
        <w:rPr>
          <w:color w:val="000000"/>
        </w:rPr>
        <w:t>1.2.3</w:t>
      </w:r>
      <w:r>
        <w:rPr>
          <w:color w:val="000000"/>
        </w:rPr>
        <w:t xml:space="preserve">. Išdėstyti 15 punktą taip: </w:t>
      </w:r>
    </w:p>
    <w:p w14:paraId="0A80E447" w14:textId="77777777">
      <w:pPr>
        <w:ind w:firstLine="709"/>
        <w:jc w:val="both"/>
        <w:rPr>
          <w:color w:val="000000"/>
        </w:rPr>
      </w:pPr>
      <w:r>
        <w:rPr>
          <w:color w:val="000000"/>
        </w:rPr>
        <w:t>„</w:t>
      </w:r>
      <w:r>
        <w:rPr>
          <w:color w:val="000000"/>
        </w:rPr>
        <w:t>15</w:t>
      </w:r>
      <w:r>
        <w:rPr>
          <w:color w:val="000000"/>
        </w:rPr>
        <w:t>. Laidavimo už akcizais apmokestinamų prekių sandėlio savininko prievoles dydis gali būti patikslintas – sumažintas iki šių taisyklių 4 arba 4</w:t>
      </w:r>
      <w:r>
        <w:rPr>
          <w:color w:val="000000"/>
          <w:vertAlign w:val="superscript"/>
        </w:rPr>
        <w:t>1</w:t>
      </w:r>
      <w:r>
        <w:rPr>
          <w:b/>
          <w:color w:val="000000"/>
        </w:rPr>
        <w:t xml:space="preserve"> </w:t>
      </w:r>
      <w:r>
        <w:rPr>
          <w:color w:val="000000"/>
        </w:rPr>
        <w:t>punkte nustatyto dydžio akcizais apmokestinamų prekių sandėlio savininko prašymu, jeigu per 12 kalendorinių mėnesių nuo sandėlio, kuriame akcizais apmokestinamos prekės gaminamos ir (arba) perdirbamos ir (arba) maišomos, veiklos nepadarytas joks Papildomų akcizais apmokestinamų prekių sandėlio veiklos reikalavimų nustatymo atvejų aprašo 1 punkte nurodytas pažeidimas, o akcizais apmokestinamų prekių sandėlio savininkas atitinka visas šių taisyklių 4.1.1–4.1.3 punktuose nustatytas sąlygas.“</w:t>
      </w:r>
    </w:p>
    <w:p w14:paraId="0A80E448" w14:textId="77777777">
      <w:pPr>
        <w:ind w:firstLine="709"/>
        <w:jc w:val="both"/>
        <w:rPr>
          <w:color w:val="000000"/>
        </w:rPr>
      </w:pPr>
      <w:r>
        <w:rPr>
          <w:color w:val="000000"/>
        </w:rPr>
        <w:t>1.2.4</w:t>
      </w:r>
      <w:r>
        <w:rPr>
          <w:color w:val="000000"/>
        </w:rPr>
        <w:t xml:space="preserve">. Išdėstyti 22.3 punktą taip: </w:t>
      </w:r>
    </w:p>
    <w:p w14:paraId="0A80E449" w14:textId="77777777">
      <w:pPr>
        <w:ind w:firstLine="709"/>
        <w:jc w:val="both"/>
        <w:rPr>
          <w:color w:val="000000"/>
        </w:rPr>
      </w:pPr>
      <w:r>
        <w:rPr>
          <w:color w:val="000000"/>
        </w:rPr>
        <w:t>„</w:t>
      </w:r>
      <w:r>
        <w:rPr>
          <w:color w:val="000000"/>
        </w:rPr>
        <w:t>22.3</w:t>
      </w:r>
      <w:r>
        <w:rPr>
          <w:color w:val="000000"/>
        </w:rPr>
        <w:t>. įregistruotas ir suformuotas įstatinis kapitalas yra ne mažesnis kaip 20 mln. litų, o laidavimo suma, kuri turėtų būti pateikta laikantis šių taisyklių 4</w:t>
      </w:r>
      <w:r>
        <w:rPr>
          <w:b/>
          <w:color w:val="000000"/>
        </w:rPr>
        <w:t xml:space="preserve"> </w:t>
      </w:r>
      <w:r>
        <w:rPr>
          <w:color w:val="000000"/>
        </w:rPr>
        <w:t>arba 4</w:t>
      </w:r>
      <w:r>
        <w:rPr>
          <w:color w:val="000000"/>
          <w:vertAlign w:val="superscript"/>
        </w:rPr>
        <w:t>1</w:t>
      </w:r>
      <w:r>
        <w:rPr>
          <w:color w:val="000000"/>
        </w:rPr>
        <w:t>, arba 5 punkto nuostatų, neviršija 50 procentų suformuoto ir įregistruoto kapitalo, ir įmonė turi turto, kuris nėra įkeistas (išskyrus turtą, įkeistą Finansų ministerijai už paskolas) ar areštuotas, už laidavimo sumą, kuri turėtų būti pateikta laikantis šių taisyklių 4 arba 4</w:t>
      </w:r>
      <w:r>
        <w:rPr>
          <w:color w:val="000000"/>
          <w:vertAlign w:val="superscript"/>
        </w:rPr>
        <w:t>1</w:t>
      </w:r>
      <w:r>
        <w:rPr>
          <w:color w:val="000000"/>
        </w:rPr>
        <w:t>, arba 5 punkto nuostatų.“</w:t>
      </w:r>
    </w:p>
    <w:p w14:paraId="0A80E44A" w14:textId="77777777">
      <w:pPr>
        <w:ind w:firstLine="709"/>
        <w:jc w:val="both"/>
        <w:rPr>
          <w:color w:val="000000"/>
        </w:rPr>
      </w:pPr>
      <w:r>
        <w:rPr>
          <w:color w:val="000000"/>
        </w:rPr>
        <w:t>1.2.5</w:t>
      </w:r>
      <w:r>
        <w:rPr>
          <w:color w:val="000000"/>
        </w:rPr>
        <w:t xml:space="preserve">. Išdėstyti 23.4 punktą taip: </w:t>
      </w:r>
    </w:p>
    <w:p w14:paraId="0A80E44B" w14:textId="77777777">
      <w:pPr>
        <w:ind w:firstLine="709"/>
        <w:jc w:val="both"/>
        <w:rPr>
          <w:color w:val="000000"/>
        </w:rPr>
      </w:pPr>
      <w:r>
        <w:rPr>
          <w:color w:val="000000"/>
        </w:rPr>
        <w:t>„</w:t>
      </w:r>
      <w:r>
        <w:rPr>
          <w:color w:val="000000"/>
        </w:rPr>
        <w:t>23.4</w:t>
      </w:r>
      <w:r>
        <w:rPr>
          <w:color w:val="000000"/>
        </w:rPr>
        <w:t>. kontroliuojančio juridinio asmens suformuotas ir įregistruotas įstatinis kapitalas yra ne mažesnis kaip 40 mln. litų, o laidavimo suma, kuri turėtų būti pateikta laikantis šių taisyklių 4</w:t>
      </w:r>
      <w:r>
        <w:rPr>
          <w:b/>
          <w:color w:val="000000"/>
        </w:rPr>
        <w:t xml:space="preserve"> </w:t>
      </w:r>
      <w:r>
        <w:rPr>
          <w:color w:val="000000"/>
        </w:rPr>
        <w:t>arba 4</w:t>
      </w:r>
      <w:r>
        <w:rPr>
          <w:color w:val="000000"/>
          <w:vertAlign w:val="superscript"/>
        </w:rPr>
        <w:t>1</w:t>
      </w:r>
      <w:r>
        <w:rPr>
          <w:color w:val="000000"/>
        </w:rPr>
        <w:t>, arba 5 punkto nuostatų, neviršija 50 procentų suformuoto ir įregistruoto įstatinio kapitalo, ir įmonė turi turto, kuris nėra įkeistas (išskyrus turtą, įkeistą Finansų ministerijai už paskolas) ar areštuotas, už laidavimo sumą, kuri turėtų būti pateikta laikantis šių taisyklių 4 arba 4</w:t>
      </w:r>
      <w:r>
        <w:rPr>
          <w:color w:val="000000"/>
          <w:vertAlign w:val="superscript"/>
        </w:rPr>
        <w:t>1</w:t>
      </w:r>
      <w:r>
        <w:rPr>
          <w:color w:val="000000"/>
        </w:rPr>
        <w:t>, arba 5 punkto nuostatų.“</w:t>
      </w:r>
    </w:p>
    <w:p w14:paraId="0A80E44C" w14:textId="77777777">
      <w:pPr>
        <w:ind w:firstLine="709"/>
        <w:jc w:val="both"/>
        <w:rPr>
          <w:color w:val="000000"/>
        </w:rPr>
      </w:pPr>
      <w:r>
        <w:rPr>
          <w:color w:val="000000"/>
        </w:rPr>
        <w:t>1.2.6</w:t>
      </w:r>
      <w:r>
        <w:rPr>
          <w:color w:val="000000"/>
        </w:rPr>
        <w:t xml:space="preserve">. Išdėstyti 24 punktą taip: </w:t>
      </w:r>
    </w:p>
    <w:p w14:paraId="0A80E44D" w14:textId="77777777">
      <w:pPr>
        <w:ind w:firstLine="709"/>
        <w:jc w:val="both"/>
        <w:rPr>
          <w:color w:val="000000"/>
        </w:rPr>
      </w:pPr>
      <w:r>
        <w:rPr>
          <w:color w:val="000000"/>
        </w:rPr>
        <w:t>„</w:t>
      </w:r>
      <w:r>
        <w:rPr>
          <w:color w:val="000000"/>
        </w:rPr>
        <w:t>24</w:t>
      </w:r>
      <w:r>
        <w:rPr>
          <w:color w:val="000000"/>
        </w:rPr>
        <w:t>. Jeigu tas pats asmuo, pateikdamas raštiškus įsipareigojimus, nori užtikrinti prievolių, susijusių su keliais akcizais apmokestinamų prekių sandėliais, įvykdymą, norint nustatyti atitiktį 22.3 ar 23.4 punkte nurodytiems kriterijams, laidavimų, kurie turėtų būti pateikti laikantis šių taisyklių 4 arba 4</w:t>
      </w:r>
      <w:r>
        <w:rPr>
          <w:color w:val="000000"/>
          <w:vertAlign w:val="superscript"/>
        </w:rPr>
        <w:t>1</w:t>
      </w:r>
      <w:r>
        <w:rPr>
          <w:color w:val="000000"/>
        </w:rPr>
        <w:t>, arba 5 punkto nuostatų už kiekvieną iš tokių sandėlių, dydžiai sudedami.“</w:t>
      </w:r>
    </w:p>
    <w:p w14:paraId="0A80E44E" w14:textId="77777777">
      <w:pPr>
        <w:ind w:firstLine="709"/>
        <w:jc w:val="both"/>
        <w:rPr>
          <w:color w:val="000000"/>
        </w:rPr>
      </w:pPr>
      <w:r>
        <w:rPr>
          <w:color w:val="000000"/>
        </w:rPr>
        <w:t>1.2.7</w:t>
      </w:r>
      <w:r>
        <w:rPr>
          <w:color w:val="000000"/>
        </w:rPr>
        <w:t xml:space="preserve">. Išdėstyti 28 punktą taip: </w:t>
      </w:r>
    </w:p>
    <w:p w14:paraId="0A80E44F" w14:textId="77777777">
      <w:pPr>
        <w:ind w:firstLine="709"/>
        <w:jc w:val="both"/>
        <w:rPr>
          <w:color w:val="000000"/>
        </w:rPr>
      </w:pPr>
      <w:r>
        <w:rPr>
          <w:color w:val="000000"/>
        </w:rPr>
        <w:t>„</w:t>
      </w:r>
      <w:r>
        <w:rPr>
          <w:color w:val="000000"/>
        </w:rPr>
        <w:t>28</w:t>
      </w:r>
      <w:r>
        <w:rPr>
          <w:color w:val="000000"/>
        </w:rPr>
        <w:t>. Jeigu raštišką įsipareigojimą pateikęs akcizais apmokestinamų prekių sandėlio savininkas ar jį kontroliuojantis juridinis asmuo nebeatitinka nors vienos iš šių taisyklių 4.1.1–4.1.3 punktuose nustatytų sąlygų ir (arba) vadovaujantis Papildomų akcizais apmokestinamų prekių sandėlio veiklos reikalavimų nustatymo atvejų aprašu pareikalauta pateikti naują (papildomą) laidavimo dokumentą, ne vėliau kaip per 5 darbo dienas po mokesčio administratoriaus raštiško nurodymo turi būti pateiktas šių taisyklių 6 punkte nurodytos įstaigos išduotas laidavimo dokumentas 4</w:t>
      </w:r>
      <w:r>
        <w:rPr>
          <w:b/>
          <w:color w:val="000000"/>
        </w:rPr>
        <w:t xml:space="preserve"> </w:t>
      </w:r>
      <w:r>
        <w:rPr>
          <w:color w:val="000000"/>
        </w:rPr>
        <w:t>arba 4</w:t>
      </w:r>
      <w:r>
        <w:rPr>
          <w:color w:val="000000"/>
          <w:vertAlign w:val="superscript"/>
        </w:rPr>
        <w:t>1</w:t>
      </w:r>
      <w:r>
        <w:rPr>
          <w:color w:val="000000"/>
        </w:rPr>
        <w:t>, arba 5 punkte nustatyto dydžio sumai, o jeigu vadovaujantis Papildomų akcizais apmokestinamų prekių sandėlio veiklos reikalavimų nustatymo atvejų aprašu pareikalauta pateikti naują (papildomą) laidavimo dokumentą, – mokesčio administratoriaus nustatytai sumai. Teisė akcizais apmokestinamų prekių sandėlio savininko prievolėms užtikrinti vėl naudoti raštiškus įsipareigojimus gali būti suteikta ne anksčiau nei po 12 kalendorinių mėnesių nuo draudimo jį naudoti, jeigu per nurodytąjį laikotarpį nenustatyta papildomų pažeidimų, o anksčiau nustatyti pažeidimai pašalinti.“</w:t>
      </w:r>
    </w:p>
    <w:p w14:paraId="0A80E452" w14:textId="30604750">
      <w:pPr>
        <w:ind w:firstLine="709"/>
        <w:jc w:val="both"/>
        <w:rPr>
          <w:color w:val="000000"/>
        </w:rPr>
      </w:pPr>
      <w:r>
        <w:rPr>
          <w:color w:val="000000"/>
        </w:rPr>
        <w:t>2</w:t>
      </w:r>
      <w:r>
        <w:rPr>
          <w:color w:val="000000"/>
        </w:rPr>
        <w:t>. Šis nutarimas įsigalioja nuo 2007 m. kovo 1 d., išskyrus 1.1 punktą, kuris įsigalioja nuo 2007 m. liepos 1 dienos.</w:t>
      </w:r>
    </w:p>
    <w:p w14:paraId="789C9B28" w14:textId="77777777">
      <w:pPr>
        <w:tabs>
          <w:tab w:val="right" w:pos="9639"/>
        </w:tabs>
      </w:pPr>
    </w:p>
    <w:p w14:paraId="35EEFC16" w14:textId="77777777">
      <w:pPr>
        <w:tabs>
          <w:tab w:val="right" w:pos="9639"/>
        </w:tabs>
      </w:pPr>
    </w:p>
    <w:p w14:paraId="2C49AADD" w14:textId="77777777">
      <w:pPr>
        <w:tabs>
          <w:tab w:val="right" w:pos="9639"/>
        </w:tabs>
      </w:pPr>
    </w:p>
    <w:p w14:paraId="0A80E453" w14:textId="2AF9383B">
      <w:pPr>
        <w:tabs>
          <w:tab w:val="right" w:pos="9639"/>
        </w:tabs>
      </w:pPr>
      <w:r>
        <w:t>Ministras Pirmininkas</w:t>
        <w:tab/>
        <w:t>Gediminas Kirkilas</w:t>
      </w:r>
    </w:p>
    <w:p w14:paraId="0A80E454" w14:textId="77777777">
      <w:pPr>
        <w:tabs>
          <w:tab w:val="right" w:pos="9639"/>
        </w:tabs>
      </w:pPr>
    </w:p>
    <w:p w14:paraId="212CB615" w14:textId="77777777">
      <w:pPr>
        <w:tabs>
          <w:tab w:val="right" w:pos="9639"/>
        </w:tabs>
      </w:pPr>
    </w:p>
    <w:p w14:paraId="4B51F648" w14:textId="77777777">
      <w:pPr>
        <w:tabs>
          <w:tab w:val="right" w:pos="9639"/>
        </w:tabs>
      </w:pPr>
    </w:p>
    <w:p w14:paraId="0A80E456" w14:textId="23BCF347">
      <w:pPr>
        <w:tabs>
          <w:tab w:val="right" w:pos="9639"/>
        </w:tabs>
      </w:pPr>
      <w:r>
        <w:t>Finansų ministras</w:t>
        <w:tab/>
        <w:t>Zigmantas Balčytis</w:t>
      </w:r>
    </w:p>
    <w:sectPr>
      <w:headerReference w:type="even" r:id="rId12"/>
      <w:headerReference w:type="default" r:id="rId13"/>
      <w:footerReference w:type="even" r:id="rId14"/>
      <w:footerReference w:type="default" r:id="rId15"/>
      <w:headerReference w:type="first" r:id="rId16"/>
      <w:footerReference w:type="first" r:id="rId17"/>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0E45A" w14:textId="77777777">
      <w:r>
        <w:separator/>
      </w:r>
    </w:p>
  </w:endnote>
  <w:endnote w:type="continuationSeparator" w:id="0">
    <w:p w14:paraId="0A80E45B" w14:textId="77777777">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0E460" w14:textId="77777777">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0E461" w14:textId="77777777">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0E463" w14:textId="77777777">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0E458" w14:textId="77777777">
      <w:r>
        <w:separator/>
      </w:r>
    </w:p>
  </w:footnote>
  <w:footnote w:type="continuationSeparator" w:id="0">
    <w:p w14:paraId="0A80E459" w14:textId="77777777">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0E45C" w14:textId="77777777">
    <w:pPr>
      <w:framePr w:wrap="auto" w:vAnchor="text" w:hAnchor="margin" w:xAlign="center" w:y="1"/>
      <w:tabs>
        <w:tab w:val="center" w:pos="4153"/>
        <w:tab w:val="right" w:pos="8306"/>
      </w:tabs>
    </w:pPr>
    <w:r>
      <w:fldChar w:fldCharType="begin"/>
    </w:r>
    <w:r>
      <w:instrText xml:space="preserve">PAGE  </w:instrText>
    </w:r>
    <w:r>
      <w:fldChar w:fldCharType="end"/>
    </w:r>
  </w:p>
  <w:p w14:paraId="0A80E45D" w14:textId="77777777">
    <w:pPr>
      <w:tabs>
        <w:tab w:val="center" w:pos="4153"/>
        <w:tab w:val="right" w:pos="8306"/>
      </w:tabs>
      <w:ind w:right="360"/>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0E45E" w14:textId="7777777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14:paraId="0A80E45F" w14:textId="77777777">
    <w:pPr>
      <w:tabs>
        <w:tab w:val="center" w:pos="4153"/>
        <w:tab w:val="right" w:pos="8306"/>
      </w:tabs>
      <w:ind w:right="360"/>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0E462" w14:textId="77777777">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D6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A80E432"/>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5217</Characters>
  <Application>Microsoft Office Word</Application>
  <DocSecurity>4</DocSecurity>
  <Lines>93</Lines>
  <Paragraphs>36</Paragraphs>
  <ScaleCrop>false</ScaleCrop>
  <Company/>
  <LinksUpToDate>false</LinksUpToDate>
  <CharactersWithSpaces>5978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2015-07-06T02:43:00Z</dcterms:created>
  <dc:creator>User</dc:creator>
  <lastModifiedBy>Adlib User</lastModifiedBy>
  <dcterms:modified xsi:type="dcterms:W3CDTF">2015-07-06T02:43:00Z</dcterms:modified>
  <revision>2</revision>
</coreProperties>
</file>