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1410C" w14:textId="77777777" w:rsidR="00384DA7" w:rsidRDefault="00384DA7">
      <w:pPr>
        <w:tabs>
          <w:tab w:val="center" w:pos="4153"/>
          <w:tab w:val="right" w:pos="8306"/>
        </w:tabs>
        <w:rPr>
          <w:lang w:val="en-GB"/>
        </w:rPr>
      </w:pPr>
    </w:p>
    <w:p w14:paraId="7051410D" w14:textId="77777777" w:rsidR="00384DA7" w:rsidRDefault="00384DA7">
      <w:pPr>
        <w:tabs>
          <w:tab w:val="center" w:pos="4153"/>
          <w:tab w:val="right" w:pos="8306"/>
        </w:tabs>
        <w:rPr>
          <w:lang w:val="en-GB"/>
        </w:rPr>
      </w:pPr>
    </w:p>
    <w:p w14:paraId="7051410E" w14:textId="77777777" w:rsidR="00384DA7" w:rsidRDefault="00991511">
      <w:pPr>
        <w:jc w:val="center"/>
        <w:rPr>
          <w:b/>
          <w:color w:val="000000"/>
          <w:szCs w:val="12"/>
        </w:rPr>
      </w:pPr>
      <w:r>
        <w:rPr>
          <w:b/>
          <w:color w:val="000000"/>
          <w:szCs w:val="12"/>
          <w:lang w:eastAsia="lt-LT"/>
        </w:rPr>
        <w:pict w14:anchorId="7051416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12"/>
        </w:rPr>
        <w:t>LIETUVOS RESPUBLIKOS ŠVIETIMO IR MOKSLO MINISTRAS</w:t>
      </w:r>
    </w:p>
    <w:p w14:paraId="7051410F" w14:textId="77777777" w:rsidR="00384DA7" w:rsidRDefault="00384DA7">
      <w:pPr>
        <w:jc w:val="center"/>
        <w:rPr>
          <w:color w:val="000000"/>
          <w:szCs w:val="12"/>
        </w:rPr>
      </w:pPr>
    </w:p>
    <w:p w14:paraId="70514110" w14:textId="77777777" w:rsidR="00384DA7" w:rsidRDefault="00991511">
      <w:pPr>
        <w:jc w:val="center"/>
        <w:rPr>
          <w:b/>
          <w:color w:val="000000"/>
          <w:szCs w:val="12"/>
        </w:rPr>
      </w:pPr>
      <w:r>
        <w:rPr>
          <w:b/>
          <w:color w:val="000000"/>
          <w:szCs w:val="12"/>
        </w:rPr>
        <w:t>Į S A K Y M A S</w:t>
      </w:r>
    </w:p>
    <w:p w14:paraId="70514111" w14:textId="77777777" w:rsidR="00384DA7" w:rsidRDefault="00991511">
      <w:pPr>
        <w:jc w:val="center"/>
        <w:rPr>
          <w:b/>
          <w:color w:val="000000"/>
          <w:szCs w:val="12"/>
        </w:rPr>
      </w:pPr>
      <w:r>
        <w:rPr>
          <w:b/>
          <w:color w:val="000000"/>
          <w:szCs w:val="12"/>
        </w:rPr>
        <w:t>DĖL VAIKO BRANDUMO MOKYTIS PAGAL PRIEŠMOKYKLINIO IR PRADINIO UGDYMO PROGRAMAS ĮVERTINIMO TVARKOS APRAŠO TVIRTINIMO</w:t>
      </w:r>
    </w:p>
    <w:p w14:paraId="70514112" w14:textId="77777777" w:rsidR="00384DA7" w:rsidRDefault="00384DA7">
      <w:pPr>
        <w:jc w:val="center"/>
        <w:rPr>
          <w:color w:val="000000"/>
          <w:szCs w:val="12"/>
        </w:rPr>
      </w:pPr>
    </w:p>
    <w:p w14:paraId="70514113" w14:textId="77777777" w:rsidR="00384DA7" w:rsidRDefault="00991511"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2005 m. spalio 29 d. Nr. ISAK-2173</w:t>
      </w:r>
    </w:p>
    <w:p w14:paraId="70514114" w14:textId="77777777" w:rsidR="00384DA7" w:rsidRDefault="00991511"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Vil</w:t>
      </w:r>
      <w:r>
        <w:rPr>
          <w:color w:val="000000"/>
          <w:szCs w:val="12"/>
        </w:rPr>
        <w:t>nius</w:t>
      </w:r>
    </w:p>
    <w:p w14:paraId="70514115" w14:textId="77777777" w:rsidR="00384DA7" w:rsidRDefault="00384DA7">
      <w:pPr>
        <w:jc w:val="center"/>
        <w:rPr>
          <w:color w:val="000000"/>
          <w:szCs w:val="12"/>
        </w:rPr>
      </w:pPr>
    </w:p>
    <w:p w14:paraId="70514116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Siekdamas užtikrinti vaikų mokymąsi pagal priešmokyklinio ir pradinio ugdymo programas, kai jie tam yra pasirengę,</w:t>
      </w:r>
    </w:p>
    <w:p w14:paraId="70514117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pacing w:val="60"/>
          <w:szCs w:val="22"/>
        </w:rPr>
        <w:t>tvirtinu</w:t>
      </w:r>
      <w:r>
        <w:rPr>
          <w:color w:val="000000"/>
          <w:szCs w:val="22"/>
        </w:rPr>
        <w:t xml:space="preserve"> Vaiko brandumo mokytis pagal priešmokyklinio ir pradinio ugdymo programas įvertinimo tvarkos aprašą (pridedama).</w:t>
      </w:r>
    </w:p>
    <w:p w14:paraId="70514118" w14:textId="77777777" w:rsidR="00384DA7" w:rsidRDefault="00384DA7">
      <w:pPr>
        <w:jc w:val="center"/>
        <w:rPr>
          <w:color w:val="000000"/>
          <w:szCs w:val="12"/>
        </w:rPr>
      </w:pPr>
    </w:p>
    <w:p w14:paraId="70514119" w14:textId="77777777" w:rsidR="00384DA7" w:rsidRDefault="00991511">
      <w:pPr>
        <w:jc w:val="center"/>
        <w:rPr>
          <w:color w:val="000000"/>
          <w:szCs w:val="12"/>
        </w:rPr>
      </w:pPr>
    </w:p>
    <w:p w14:paraId="7051411A" w14:textId="77777777" w:rsidR="00384DA7" w:rsidRDefault="00991511">
      <w:pPr>
        <w:tabs>
          <w:tab w:val="right" w:pos="9639"/>
        </w:tabs>
        <w:rPr>
          <w:caps/>
        </w:rPr>
      </w:pPr>
      <w:r>
        <w:rPr>
          <w:caps/>
        </w:rPr>
        <w:t>ŠVIETIM</w:t>
      </w:r>
      <w:r>
        <w:rPr>
          <w:caps/>
        </w:rPr>
        <w:t>O IR MOKSLO MINISTRAS</w:t>
      </w:r>
      <w:r>
        <w:rPr>
          <w:caps/>
        </w:rPr>
        <w:tab/>
        <w:t>REMIGIJUS MOTUZAS</w:t>
      </w:r>
    </w:p>
    <w:p w14:paraId="7051411B" w14:textId="77777777" w:rsidR="00384DA7" w:rsidRDefault="00991511">
      <w:pPr>
        <w:jc w:val="center"/>
        <w:rPr>
          <w:color w:val="000000"/>
          <w:szCs w:val="12"/>
        </w:rPr>
      </w:pPr>
    </w:p>
    <w:p w14:paraId="7051411C" w14:textId="77777777" w:rsidR="00384DA7" w:rsidRDefault="00991511">
      <w:pPr>
        <w:ind w:left="5102"/>
        <w:rPr>
          <w:color w:val="000000"/>
        </w:rPr>
      </w:pPr>
      <w:r>
        <w:rPr>
          <w:color w:val="000000"/>
          <w:szCs w:val="22"/>
        </w:rPr>
        <w:br w:type="page"/>
      </w:r>
      <w:r>
        <w:rPr>
          <w:color w:val="000000"/>
          <w:szCs w:val="22"/>
        </w:rPr>
        <w:lastRenderedPageBreak/>
        <w:t>PATVIRTINTA</w:t>
      </w:r>
    </w:p>
    <w:p w14:paraId="7051411D" w14:textId="77777777" w:rsidR="00384DA7" w:rsidRDefault="00991511">
      <w:pPr>
        <w:ind w:firstLine="5102"/>
        <w:rPr>
          <w:color w:val="000000"/>
        </w:rPr>
      </w:pPr>
      <w:r>
        <w:rPr>
          <w:color w:val="000000"/>
          <w:szCs w:val="22"/>
        </w:rPr>
        <w:t>Lietuvos Respublikos švietimo</w:t>
      </w:r>
    </w:p>
    <w:p w14:paraId="7051411E" w14:textId="77777777" w:rsidR="00384DA7" w:rsidRDefault="00991511">
      <w:pPr>
        <w:ind w:firstLine="5102"/>
        <w:rPr>
          <w:color w:val="000000"/>
        </w:rPr>
      </w:pPr>
      <w:r>
        <w:rPr>
          <w:color w:val="000000"/>
          <w:szCs w:val="22"/>
        </w:rPr>
        <w:t>ir mokslo ministro 2005 m. spalio 29 d.</w:t>
      </w:r>
    </w:p>
    <w:p w14:paraId="7051411F" w14:textId="77777777" w:rsidR="00384DA7" w:rsidRDefault="00991511">
      <w:pPr>
        <w:ind w:firstLine="5102"/>
        <w:rPr>
          <w:color w:val="000000"/>
        </w:rPr>
      </w:pPr>
      <w:r>
        <w:rPr>
          <w:color w:val="000000"/>
          <w:szCs w:val="22"/>
        </w:rPr>
        <w:t>įsakymu Nr. ISAK-2173</w:t>
      </w:r>
    </w:p>
    <w:p w14:paraId="70514120" w14:textId="77777777" w:rsidR="00384DA7" w:rsidRDefault="00384DA7">
      <w:pPr>
        <w:jc w:val="center"/>
        <w:rPr>
          <w:color w:val="000000"/>
          <w:szCs w:val="12"/>
        </w:rPr>
      </w:pPr>
    </w:p>
    <w:p w14:paraId="70514121" w14:textId="77777777" w:rsidR="00384DA7" w:rsidRDefault="00991511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VAIKO BRANDUMO MOKYTIS PAGAL PRIEŠMOKYKLINIO IR PRADINIO UGDYMO PROGRAMAS ĮVERTINIMO TVARKOS APRAŠAS</w:t>
      </w:r>
    </w:p>
    <w:p w14:paraId="70514122" w14:textId="77777777" w:rsidR="00384DA7" w:rsidRDefault="00384DA7">
      <w:pPr>
        <w:jc w:val="center"/>
        <w:rPr>
          <w:color w:val="000000"/>
          <w:szCs w:val="12"/>
        </w:rPr>
      </w:pPr>
    </w:p>
    <w:p w14:paraId="70514123" w14:textId="77777777" w:rsidR="00384DA7" w:rsidRDefault="00991511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BENDROSIOS NUOSTATOS</w:t>
      </w:r>
    </w:p>
    <w:p w14:paraId="70514124" w14:textId="77777777" w:rsidR="00384DA7" w:rsidRDefault="00384DA7">
      <w:pPr>
        <w:jc w:val="center"/>
        <w:rPr>
          <w:color w:val="000000"/>
          <w:szCs w:val="12"/>
        </w:rPr>
      </w:pPr>
    </w:p>
    <w:p w14:paraId="70514125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Vaiko brandumo mokytis pagal priešmokyklinio ugdymo ir pradinio ugdymo programas (toliau vadinama – Vaiko brandumas) įvertinimo tvarkos aprašas (toliau vadinama – Tvarkos aprašas) nustato Vaiko brandumo įvertinimo atvejus, </w:t>
      </w:r>
      <w:r>
        <w:rPr>
          <w:color w:val="000000"/>
          <w:szCs w:val="22"/>
        </w:rPr>
        <w:t>brandumo įvertinimo procedūras, įvertinimo rezultatų panaudojimą.</w:t>
      </w:r>
    </w:p>
    <w:p w14:paraId="70514126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Šis Tvarkos aprašas skirtas apskričių viršininkų, savivaldybių administracijoms, pedagoginėms psichologinėms tarnyboms, švietimo pagalbą teikiančioms mokykloms, tėvams (globėjams).</w:t>
      </w:r>
    </w:p>
    <w:p w14:paraId="70514127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>. Atliekant Vaiko brandumo įvertinimą, taikomos Specialiosios pedagogikos ir psichologijos centro standartizuotos ir adaptuotos metodikos.</w:t>
      </w:r>
    </w:p>
    <w:p w14:paraId="70514128" w14:textId="77777777" w:rsidR="00384DA7" w:rsidRDefault="00991511">
      <w:pPr>
        <w:ind w:firstLine="709"/>
        <w:jc w:val="both"/>
        <w:rPr>
          <w:color w:val="000000"/>
        </w:rPr>
      </w:pPr>
    </w:p>
    <w:p w14:paraId="70514129" w14:textId="77777777" w:rsidR="00384DA7" w:rsidRDefault="00991511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II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VAIKO BRANDUMO ĮVERTINIMAS</w:t>
      </w:r>
    </w:p>
    <w:p w14:paraId="7051412A" w14:textId="77777777" w:rsidR="00384DA7" w:rsidRDefault="00384DA7">
      <w:pPr>
        <w:ind w:firstLine="709"/>
        <w:jc w:val="both"/>
        <w:rPr>
          <w:color w:val="000000"/>
        </w:rPr>
      </w:pPr>
    </w:p>
    <w:p w14:paraId="7051412B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</w:t>
      </w:r>
      <w:r>
        <w:rPr>
          <w:color w:val="000000"/>
          <w:szCs w:val="22"/>
        </w:rPr>
        <w:t>. Vaiko brandumo įvertinimas atliekamas tėvų (globėjų) prašymu:</w:t>
      </w:r>
    </w:p>
    <w:p w14:paraId="7051412C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4.1</w:t>
      </w:r>
      <w:r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tėvams (globėjams) pageidaujant ugdyti vaiką pagal priešmokyklinio ugdymo programą, kai tais kalendoriniais metais jam dar nesueina 6 metai;</w:t>
      </w:r>
    </w:p>
    <w:p w14:paraId="7051412D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4.2</w:t>
      </w:r>
      <w:r>
        <w:rPr>
          <w:color w:val="000000"/>
          <w:szCs w:val="22"/>
        </w:rPr>
        <w:t xml:space="preserve">. tėvams (globėjams) pageidaujant leisti į pradinio ugdymo pirmąją klasę vaiką, nelankiusį priešmokyklinio </w:t>
      </w:r>
      <w:r>
        <w:rPr>
          <w:color w:val="000000"/>
          <w:szCs w:val="22"/>
        </w:rPr>
        <w:t>ugdymo grupės arba lankiusį mažiau nei 2/3 priešmokyklinio ugdymo programos laiko, kai tais kalendoriniais metais jam dar nesueina 7 metai.</w:t>
      </w:r>
    </w:p>
    <w:p w14:paraId="7051412E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</w:t>
      </w:r>
      <w:r>
        <w:rPr>
          <w:color w:val="000000"/>
          <w:szCs w:val="22"/>
        </w:rPr>
        <w:t>. Vaiko, kuriam tais kalendoriniais metais sueina 7 metai, brandumas nėra vertinamas.</w:t>
      </w:r>
    </w:p>
    <w:p w14:paraId="7051412F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6</w:t>
      </w:r>
      <w:r>
        <w:rPr>
          <w:color w:val="000000"/>
          <w:szCs w:val="22"/>
        </w:rPr>
        <w:t>. Vaiko brandumo į</w:t>
      </w:r>
      <w:r>
        <w:rPr>
          <w:color w:val="000000"/>
          <w:szCs w:val="22"/>
        </w:rPr>
        <w:t>vertinimą atlieka pedagoginių psichologinių tarnybų, mokyklų psichologai.</w:t>
      </w:r>
    </w:p>
    <w:p w14:paraId="70514130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7</w:t>
      </w:r>
      <w:r>
        <w:rPr>
          <w:color w:val="000000"/>
          <w:szCs w:val="22"/>
        </w:rPr>
        <w:t>. Vaiko brandumo įvertinimas atliekamas nuo gegužės 1 d. iki rugpjūčio 31 d.</w:t>
      </w:r>
    </w:p>
    <w:p w14:paraId="70514131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8</w:t>
      </w:r>
      <w:r>
        <w:rPr>
          <w:color w:val="000000"/>
          <w:szCs w:val="22"/>
        </w:rPr>
        <w:t xml:space="preserve">. Apskrities viršininko, savivaldybės administracijos nustato konkrečiuosius švietimo pagalbos </w:t>
      </w:r>
      <w:r>
        <w:rPr>
          <w:color w:val="000000"/>
          <w:szCs w:val="22"/>
        </w:rPr>
        <w:t>teikėjus, atliekančius Vaiko brandumo įvertinimą, ir apie tai informuoja tėvus (globėjus).</w:t>
      </w:r>
    </w:p>
    <w:p w14:paraId="70514132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9</w:t>
      </w:r>
      <w:r>
        <w:rPr>
          <w:color w:val="000000"/>
          <w:szCs w:val="22"/>
        </w:rPr>
        <w:t>. Tėvai (globėjai), pageidaujantys įvertinti Vaiko brandumą, teikia prašymą mokyklos arba pedagoginės psichologinės tarnybos vadovui. Prie prašymo pridedama vai</w:t>
      </w:r>
      <w:r>
        <w:rPr>
          <w:color w:val="000000"/>
          <w:szCs w:val="22"/>
        </w:rPr>
        <w:t>ko gimimo liudijimo kopija ir, jei yra, kitų specialistų pažymos.</w:t>
      </w:r>
    </w:p>
    <w:p w14:paraId="70514133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10</w:t>
      </w:r>
      <w:r>
        <w:rPr>
          <w:color w:val="000000"/>
          <w:szCs w:val="22"/>
        </w:rPr>
        <w:t>. Pedagoginės psichologinės tarnybos ar mokyklos psichologas, atlikęs įvertinimą, parengia išvadą-rekomendaciją tėvams (globėjams) dėl Vaiko brandumo (Priedas).</w:t>
      </w:r>
    </w:p>
    <w:p w14:paraId="70514134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11</w:t>
      </w:r>
      <w:r>
        <w:rPr>
          <w:color w:val="000000"/>
          <w:szCs w:val="22"/>
        </w:rPr>
        <w:t>. Pedagoginės psi</w:t>
      </w:r>
      <w:r>
        <w:rPr>
          <w:color w:val="000000"/>
          <w:szCs w:val="22"/>
        </w:rPr>
        <w:t>chologinės tarnybos ar mokyklos psichologui rekomendavus, vaiko specialieji ugdymosi poreikiai įvertinami vadovaujantis Asmens specialiųjų ugdymosi poreikių įvertinimo tvarka, patvirtinta Lietuvos Respublikos švietimo ir mokslo ministro, sveikatos apsaugos</w:t>
      </w:r>
      <w:r>
        <w:rPr>
          <w:color w:val="000000"/>
          <w:szCs w:val="22"/>
        </w:rPr>
        <w:t xml:space="preserve"> ministro ir socialinės apsaugos ir darbo ministro 2000 m. spalio 4 d. įsakymu Nr. 1221/527/83 (Žin., 2000,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85-2608</w:t>
        </w:r>
      </w:hyperlink>
      <w:r>
        <w:rPr>
          <w:color w:val="000000"/>
          <w:szCs w:val="22"/>
        </w:rPr>
        <w:t>).</w:t>
      </w:r>
    </w:p>
    <w:bookmarkStart w:id="0" w:name="_GoBack" w:displacedByCustomXml="prev"/>
    <w:p w14:paraId="70514135" w14:textId="1C39C0FD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</w:t>
      </w:r>
      <w:r>
        <w:rPr>
          <w:color w:val="000000"/>
          <w:szCs w:val="22"/>
        </w:rPr>
        <w:t xml:space="preserve">. Sprendimus dėl vaiko mokymosi pagal </w:t>
      </w:r>
      <w:r>
        <w:rPr>
          <w:color w:val="000000"/>
          <w:szCs w:val="22"/>
        </w:rPr>
        <w:t>priešmokyklinio ir pradinio, adaptuoto pradinio, pradinio specialiojo ugdymo programas priima tėvai (globėjai), atsižvelgdami į Vaiko brandumo įvertinimo išvadą-rekomendaciją ir vaiko sveikatos būklę.</w:t>
      </w:r>
    </w:p>
    <w:bookmarkEnd w:id="0" w:displacedByCustomXml="next"/>
    <w:p w14:paraId="70514136" w14:textId="39C2163B" w:rsidR="00384DA7" w:rsidRDefault="00991511"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______________</w:t>
      </w:r>
    </w:p>
    <w:p w14:paraId="70514137" w14:textId="4EB6114A" w:rsidR="00384DA7" w:rsidRDefault="00991511">
      <w:pPr>
        <w:jc w:val="both"/>
        <w:rPr>
          <w:color w:val="000000"/>
        </w:rPr>
      </w:pPr>
    </w:p>
    <w:p w14:paraId="70514138" w14:textId="77777777" w:rsidR="00384DA7" w:rsidRDefault="00991511">
      <w:pPr>
        <w:ind w:left="5102"/>
        <w:rPr>
          <w:color w:val="000000"/>
          <w:szCs w:val="22"/>
        </w:rPr>
      </w:pPr>
      <w:r>
        <w:rPr>
          <w:color w:val="000000"/>
          <w:szCs w:val="22"/>
        </w:rPr>
        <w:br w:type="page"/>
      </w:r>
      <w:r>
        <w:rPr>
          <w:color w:val="000000"/>
          <w:szCs w:val="22"/>
        </w:rPr>
        <w:lastRenderedPageBreak/>
        <w:t>Vaiko brandumo mokytis pagal</w:t>
      </w:r>
    </w:p>
    <w:p w14:paraId="70514139" w14:textId="77777777" w:rsidR="00384DA7" w:rsidRDefault="00991511">
      <w:pPr>
        <w:ind w:firstLine="5102"/>
        <w:rPr>
          <w:color w:val="000000"/>
          <w:szCs w:val="22"/>
        </w:rPr>
      </w:pPr>
      <w:r>
        <w:rPr>
          <w:color w:val="000000"/>
          <w:szCs w:val="22"/>
        </w:rPr>
        <w:t>pri</w:t>
      </w:r>
      <w:r>
        <w:rPr>
          <w:color w:val="000000"/>
          <w:szCs w:val="22"/>
        </w:rPr>
        <w:t>ešmokyklinio ir pradinio ugdymo</w:t>
      </w:r>
    </w:p>
    <w:p w14:paraId="7051413A" w14:textId="77777777" w:rsidR="00384DA7" w:rsidRDefault="00991511">
      <w:pPr>
        <w:ind w:firstLine="5102"/>
        <w:rPr>
          <w:color w:val="000000"/>
        </w:rPr>
      </w:pPr>
      <w:r>
        <w:rPr>
          <w:color w:val="000000"/>
          <w:szCs w:val="22"/>
        </w:rPr>
        <w:t>programas įvertinimo tvarkos aprašo</w:t>
      </w:r>
    </w:p>
    <w:p w14:paraId="7051413B" w14:textId="77777777" w:rsidR="00384DA7" w:rsidRDefault="00991511">
      <w:pPr>
        <w:ind w:firstLine="5102"/>
        <w:rPr>
          <w:color w:val="000000"/>
        </w:rPr>
      </w:pPr>
      <w:r>
        <w:rPr>
          <w:color w:val="000000"/>
          <w:szCs w:val="22"/>
        </w:rPr>
        <w:t>priedas</w:t>
      </w:r>
    </w:p>
    <w:p w14:paraId="7051413C" w14:textId="77777777" w:rsidR="00384DA7" w:rsidRDefault="00384DA7">
      <w:pPr>
        <w:ind w:firstLine="709"/>
        <w:jc w:val="both"/>
        <w:rPr>
          <w:color w:val="000000"/>
        </w:rPr>
      </w:pPr>
    </w:p>
    <w:p w14:paraId="7051413D" w14:textId="77777777" w:rsidR="00384DA7" w:rsidRDefault="00991511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2"/>
        </w:rPr>
        <w:t>(Išvados-rekomendacijos forma)</w:t>
      </w:r>
    </w:p>
    <w:p w14:paraId="7051413E" w14:textId="77777777" w:rsidR="00384DA7" w:rsidRDefault="00384DA7">
      <w:pPr>
        <w:jc w:val="center"/>
        <w:rPr>
          <w:b/>
          <w:bCs/>
          <w:color w:val="000000"/>
        </w:rPr>
      </w:pPr>
    </w:p>
    <w:p w14:paraId="7051413F" w14:textId="0CAA8699" w:rsidR="00384DA7" w:rsidRDefault="00991511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2"/>
        </w:rPr>
        <w:t xml:space="preserve">VAIKO BRANDUMO MOKYTIS PAGAL PRIEŠMOKYKLINIO, </w:t>
      </w:r>
    </w:p>
    <w:p w14:paraId="70514140" w14:textId="77777777" w:rsidR="00384DA7" w:rsidRDefault="00991511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2"/>
        </w:rPr>
        <w:t xml:space="preserve">PRADINIO UGDYMO PROGRAMĄ </w:t>
      </w:r>
    </w:p>
    <w:p w14:paraId="70514141" w14:textId="340C4685" w:rsidR="00384DA7" w:rsidRDefault="00991511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2"/>
        </w:rPr>
        <w:t>IŠVADA-REKOMENDACIJA</w:t>
      </w:r>
    </w:p>
    <w:p w14:paraId="70514142" w14:textId="77777777" w:rsidR="00384DA7" w:rsidRDefault="00384DA7">
      <w:pPr>
        <w:jc w:val="center"/>
        <w:rPr>
          <w:b/>
          <w:bCs/>
          <w:color w:val="000000"/>
        </w:rPr>
      </w:pPr>
    </w:p>
    <w:p w14:paraId="70514143" w14:textId="77777777" w:rsidR="00384DA7" w:rsidRDefault="00991511">
      <w:pPr>
        <w:jc w:val="center"/>
        <w:rPr>
          <w:b/>
          <w:bCs/>
          <w:color w:val="000000"/>
        </w:rPr>
      </w:pPr>
      <w:r>
        <w:rPr>
          <w:color w:val="000000"/>
          <w:szCs w:val="22"/>
        </w:rPr>
        <w:t>__________________________________________</w:t>
      </w:r>
    </w:p>
    <w:p w14:paraId="70514144" w14:textId="77777777" w:rsidR="00384DA7" w:rsidRDefault="00991511">
      <w:pPr>
        <w:jc w:val="center"/>
        <w:rPr>
          <w:b/>
          <w:bCs/>
          <w:color w:val="000000"/>
        </w:rPr>
      </w:pPr>
      <w:r>
        <w:rPr>
          <w:color w:val="000000"/>
          <w:szCs w:val="22"/>
        </w:rPr>
        <w:t>(Pedagoginė psichologinė tarnyba, mokykla)</w:t>
      </w:r>
    </w:p>
    <w:p w14:paraId="70514145" w14:textId="77777777" w:rsidR="00384DA7" w:rsidRDefault="00384DA7">
      <w:pPr>
        <w:jc w:val="center"/>
        <w:rPr>
          <w:b/>
          <w:bCs/>
          <w:color w:val="000000"/>
        </w:rPr>
      </w:pPr>
    </w:p>
    <w:p w14:paraId="70514146" w14:textId="77777777" w:rsidR="00384DA7" w:rsidRDefault="00991511">
      <w:pPr>
        <w:jc w:val="center"/>
        <w:rPr>
          <w:b/>
          <w:bCs/>
          <w:color w:val="000000"/>
        </w:rPr>
      </w:pPr>
      <w:r>
        <w:rPr>
          <w:color w:val="000000"/>
          <w:szCs w:val="22"/>
        </w:rPr>
        <w:t>_________________________________________</w:t>
      </w:r>
    </w:p>
    <w:p w14:paraId="70514147" w14:textId="77777777" w:rsidR="00384DA7" w:rsidRDefault="00384DA7">
      <w:pPr>
        <w:jc w:val="center"/>
        <w:rPr>
          <w:b/>
          <w:bCs/>
          <w:color w:val="000000"/>
        </w:rPr>
      </w:pPr>
    </w:p>
    <w:p w14:paraId="70514148" w14:textId="77777777" w:rsidR="00384DA7" w:rsidRDefault="00991511">
      <w:pPr>
        <w:jc w:val="center"/>
        <w:rPr>
          <w:b/>
          <w:bCs/>
          <w:color w:val="000000"/>
        </w:rPr>
      </w:pPr>
      <w:r>
        <w:rPr>
          <w:color w:val="000000"/>
          <w:szCs w:val="22"/>
        </w:rPr>
        <w:t>_________________ Nr. ______</w:t>
      </w:r>
    </w:p>
    <w:p w14:paraId="70514149" w14:textId="77777777" w:rsidR="00384DA7" w:rsidRDefault="00991511">
      <w:pPr>
        <w:tabs>
          <w:tab w:val="center" w:pos="4200"/>
        </w:tabs>
        <w:ind w:firstLine="709"/>
        <w:jc w:val="both"/>
        <w:rPr>
          <w:b/>
          <w:bCs/>
          <w:color w:val="000000"/>
        </w:rPr>
      </w:pPr>
      <w:r>
        <w:rPr>
          <w:color w:val="000000"/>
          <w:szCs w:val="22"/>
        </w:rPr>
        <w:tab/>
        <w:t>(data)</w:t>
      </w:r>
    </w:p>
    <w:p w14:paraId="7051414A" w14:textId="77777777" w:rsidR="00384DA7" w:rsidRDefault="00384DA7">
      <w:pPr>
        <w:ind w:firstLine="709"/>
        <w:jc w:val="both"/>
        <w:rPr>
          <w:color w:val="000000"/>
        </w:rPr>
      </w:pPr>
    </w:p>
    <w:p w14:paraId="7051414B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Vardas, pavardė </w:t>
      </w:r>
      <w:r>
        <w:rPr>
          <w:color w:val="000000"/>
          <w:szCs w:val="22"/>
        </w:rPr>
        <w:tab/>
      </w:r>
    </w:p>
    <w:p w14:paraId="7051414C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Gimimo data ________________________ asmens kodas </w:t>
      </w:r>
      <w:r>
        <w:rPr>
          <w:color w:val="000000"/>
          <w:szCs w:val="22"/>
        </w:rPr>
        <w:tab/>
      </w:r>
    </w:p>
    <w:p w14:paraId="7051414D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adresas (telefono Nr.)</w:t>
      </w:r>
      <w:r>
        <w:rPr>
          <w:color w:val="000000"/>
          <w:szCs w:val="22"/>
        </w:rPr>
        <w:tab/>
      </w:r>
    </w:p>
    <w:p w14:paraId="7051414E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Ugdymo įstaiga</w:t>
      </w:r>
      <w:r>
        <w:rPr>
          <w:color w:val="000000"/>
          <w:szCs w:val="22"/>
        </w:rPr>
        <w:tab/>
      </w:r>
    </w:p>
    <w:p w14:paraId="7051414F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Gimtoji kalba</w:t>
      </w:r>
      <w:r>
        <w:rPr>
          <w:color w:val="000000"/>
          <w:szCs w:val="22"/>
        </w:rPr>
        <w:tab/>
      </w:r>
    </w:p>
    <w:p w14:paraId="70514150" w14:textId="77777777" w:rsidR="00384DA7" w:rsidRDefault="00384DA7">
      <w:pPr>
        <w:ind w:firstLine="709"/>
        <w:jc w:val="both"/>
        <w:rPr>
          <w:color w:val="000000"/>
        </w:rPr>
      </w:pPr>
    </w:p>
    <w:p w14:paraId="70514151" w14:textId="50F30FBC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IŠVADA (emocinio socialinio, intelektinės brandos, motyvacijos mokytis ypatumai) </w:t>
      </w:r>
    </w:p>
    <w:p w14:paraId="70514152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70514153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70514154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70514155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70514156" w14:textId="48B132B4" w:rsidR="00384DA7" w:rsidRDefault="00384DA7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</w:p>
    <w:p w14:paraId="70514157" w14:textId="2CA79502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REKOMENDACIJA (rekomenduojamos ugdymo programos, jei reikalinga, siūlomi papildomi vertinimai ir kt.)</w:t>
      </w:r>
    </w:p>
    <w:p w14:paraId="70514158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70514159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7051415A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7051415B" w14:textId="77777777" w:rsidR="00384DA7" w:rsidRDefault="00991511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7051415C" w14:textId="77777777" w:rsidR="00384DA7" w:rsidRDefault="00384DA7">
      <w:pPr>
        <w:tabs>
          <w:tab w:val="right" w:leader="underscore" w:pos="9639"/>
        </w:tabs>
        <w:ind w:firstLine="709"/>
        <w:jc w:val="both"/>
        <w:rPr>
          <w:color w:val="000000"/>
        </w:rPr>
      </w:pPr>
    </w:p>
    <w:p w14:paraId="7051415D" w14:textId="77777777" w:rsidR="00384DA7" w:rsidRDefault="00991511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Pedagoginės psichologinės </w:t>
      </w:r>
    </w:p>
    <w:p w14:paraId="7051415E" w14:textId="77777777" w:rsidR="00384DA7" w:rsidRDefault="00991511">
      <w:pPr>
        <w:tabs>
          <w:tab w:val="left" w:pos="3720"/>
          <w:tab w:val="right" w:leader="underscore" w:pos="5640"/>
          <w:tab w:val="left" w:pos="6240"/>
          <w:tab w:val="right" w:leader="underscore" w:pos="948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tarnybos, mokyklos vadovas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7051415F" w14:textId="77777777" w:rsidR="00384DA7" w:rsidRDefault="00991511">
      <w:pPr>
        <w:tabs>
          <w:tab w:val="center" w:pos="4680"/>
          <w:tab w:val="center" w:pos="780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ab/>
        <w:t>(parašas)</w:t>
      </w:r>
      <w:r>
        <w:rPr>
          <w:color w:val="000000"/>
          <w:szCs w:val="22"/>
        </w:rPr>
        <w:tab/>
        <w:t>(vardas ir pavardė)</w:t>
      </w:r>
    </w:p>
    <w:p w14:paraId="70514160" w14:textId="77777777" w:rsidR="00384DA7" w:rsidRDefault="00384DA7">
      <w:pPr>
        <w:ind w:firstLine="709"/>
        <w:jc w:val="both"/>
        <w:rPr>
          <w:color w:val="000000"/>
        </w:rPr>
      </w:pPr>
    </w:p>
    <w:p w14:paraId="70514161" w14:textId="77777777" w:rsidR="00384DA7" w:rsidRDefault="00991511">
      <w:pPr>
        <w:tabs>
          <w:tab w:val="left" w:pos="3720"/>
          <w:tab w:val="right" w:leader="underscore" w:pos="5640"/>
          <w:tab w:val="left" w:pos="6240"/>
          <w:tab w:val="right" w:leader="underscore" w:pos="948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Psichologas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70514162" w14:textId="77777777" w:rsidR="00384DA7" w:rsidRDefault="00991511">
      <w:pPr>
        <w:tabs>
          <w:tab w:val="center" w:pos="4680"/>
          <w:tab w:val="center" w:pos="792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ab/>
        <w:t>(parašas)</w:t>
      </w:r>
      <w:r>
        <w:rPr>
          <w:color w:val="000000"/>
          <w:szCs w:val="22"/>
        </w:rPr>
        <w:tab/>
        <w:t>(vardas ir pavardė)</w:t>
      </w:r>
    </w:p>
    <w:p w14:paraId="70514163" w14:textId="77777777" w:rsidR="00384DA7" w:rsidRDefault="00384DA7">
      <w:pPr>
        <w:ind w:firstLine="709"/>
        <w:jc w:val="both"/>
        <w:rPr>
          <w:color w:val="000000"/>
        </w:rPr>
      </w:pPr>
    </w:p>
    <w:p w14:paraId="70514164" w14:textId="77777777" w:rsidR="00384DA7" w:rsidRDefault="00991511">
      <w:pPr>
        <w:tabs>
          <w:tab w:val="left" w:pos="3720"/>
          <w:tab w:val="right" w:leader="underscore" w:pos="5640"/>
          <w:tab w:val="left" w:pos="6240"/>
          <w:tab w:val="right" w:leader="underscore" w:pos="948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Vienas iš tėvų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70514165" w14:textId="77777777" w:rsidR="00384DA7" w:rsidRDefault="00991511">
      <w:pPr>
        <w:tabs>
          <w:tab w:val="center" w:pos="4680"/>
          <w:tab w:val="center" w:pos="792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(globėjų)</w:t>
      </w:r>
      <w:r>
        <w:rPr>
          <w:color w:val="000000"/>
          <w:szCs w:val="22"/>
        </w:rPr>
        <w:tab/>
        <w:t>(parašas)</w:t>
      </w:r>
      <w:r>
        <w:rPr>
          <w:color w:val="000000"/>
          <w:szCs w:val="22"/>
        </w:rPr>
        <w:tab/>
        <w:t>(vardas ir pavardė)</w:t>
      </w:r>
    </w:p>
    <w:p w14:paraId="70514166" w14:textId="77777777" w:rsidR="00384DA7" w:rsidRDefault="00384DA7">
      <w:pPr>
        <w:jc w:val="center"/>
        <w:rPr>
          <w:caps/>
          <w:color w:val="000000"/>
        </w:rPr>
      </w:pPr>
    </w:p>
    <w:p w14:paraId="70514167" w14:textId="77777777" w:rsidR="00384DA7" w:rsidRDefault="00991511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70514168" w14:textId="77777777" w:rsidR="00384DA7" w:rsidRDefault="00384DA7">
      <w:pPr>
        <w:ind w:firstLine="709"/>
        <w:rPr>
          <w:color w:val="000000"/>
        </w:rPr>
      </w:pPr>
    </w:p>
    <w:p w14:paraId="70514169" w14:textId="76A40040" w:rsidR="00384DA7" w:rsidRDefault="00991511"/>
    <w:sectPr w:rsidR="00384D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1416D" w14:textId="77777777" w:rsidR="00384DA7" w:rsidRDefault="00991511">
      <w:r>
        <w:separator/>
      </w:r>
    </w:p>
  </w:endnote>
  <w:endnote w:type="continuationSeparator" w:id="0">
    <w:p w14:paraId="7051416E" w14:textId="77777777" w:rsidR="00384DA7" w:rsidRDefault="0099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4173" w14:textId="77777777" w:rsidR="00384DA7" w:rsidRDefault="00384DA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4174" w14:textId="77777777" w:rsidR="00384DA7" w:rsidRDefault="00384DA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4176" w14:textId="77777777" w:rsidR="00384DA7" w:rsidRDefault="00384DA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416B" w14:textId="77777777" w:rsidR="00384DA7" w:rsidRDefault="00991511">
      <w:r>
        <w:separator/>
      </w:r>
    </w:p>
  </w:footnote>
  <w:footnote w:type="continuationSeparator" w:id="0">
    <w:p w14:paraId="7051416C" w14:textId="77777777" w:rsidR="00384DA7" w:rsidRDefault="0099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416F" w14:textId="77777777" w:rsidR="00384DA7" w:rsidRDefault="0099151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0514170" w14:textId="77777777" w:rsidR="00384DA7" w:rsidRDefault="00384DA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4171" w14:textId="77777777" w:rsidR="00384DA7" w:rsidRDefault="00991511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70514172" w14:textId="77777777" w:rsidR="00384DA7" w:rsidRDefault="00384DA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4175" w14:textId="77777777" w:rsidR="00384DA7" w:rsidRDefault="00384DA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64"/>
    <w:rsid w:val="00384DA7"/>
    <w:rsid w:val="00510F64"/>
    <w:rsid w:val="009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51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1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1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BDB91FF030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D0"/>
    <w:rsid w:val="00B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91E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91E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2847</Words>
  <Characters>1624</Characters>
  <Application>Microsoft Office Word</Application>
  <DocSecurity>0</DocSecurity>
  <Lines>13</Lines>
  <Paragraphs>8</Paragraphs>
  <ScaleCrop>false</ScaleCrop>
  <Company/>
  <LinksUpToDate>false</LinksUpToDate>
  <CharactersWithSpaces>4463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2016-02-22T07:20:00Z</dcterms:created>
  <dc:creator>Tadeuš Buivid</dc:creator>
  <lastModifiedBy>RAKAUSKIENĖ Loreta</lastModifiedBy>
  <dcterms:modified xsi:type="dcterms:W3CDTF">2016-02-22T07:29:00Z</dcterms:modified>
  <revision>3</revision>
</coreProperties>
</file>