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02" w:rsidRDefault="00395402">
      <w:pPr>
        <w:tabs>
          <w:tab w:val="center" w:pos="4153"/>
          <w:tab w:val="right" w:pos="8306"/>
        </w:tabs>
        <w:rPr>
          <w:lang w:val="en-GB"/>
        </w:rPr>
      </w:pPr>
    </w:p>
    <w:p w:rsidR="00395402" w:rsidRDefault="001E729A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7" o:title=""/>
          </v:shape>
          <w:control r:id="rId8" w:name="Control 3" w:shapeid="_x0000_s1027"/>
        </w:pict>
      </w:r>
      <w:r>
        <w:rPr>
          <w:b/>
          <w:color w:val="000000"/>
        </w:rPr>
        <w:t>LIETUVOS RESPUBLIKOS VYRIAUSYBĖ</w:t>
      </w:r>
    </w:p>
    <w:p w:rsidR="00395402" w:rsidRDefault="00395402">
      <w:pPr>
        <w:jc w:val="center"/>
        <w:rPr>
          <w:color w:val="000000"/>
        </w:rPr>
      </w:pPr>
    </w:p>
    <w:p w:rsidR="00395402" w:rsidRDefault="001E729A">
      <w:pPr>
        <w:jc w:val="center"/>
        <w:rPr>
          <w:b/>
          <w:color w:val="000000"/>
        </w:rPr>
      </w:pPr>
      <w:r>
        <w:rPr>
          <w:b/>
          <w:color w:val="000000"/>
        </w:rPr>
        <w:t>N U T A R I M A S</w:t>
      </w:r>
    </w:p>
    <w:p w:rsidR="00395402" w:rsidRDefault="001E729A">
      <w:pPr>
        <w:jc w:val="center"/>
        <w:rPr>
          <w:b/>
          <w:color w:val="000000"/>
        </w:rPr>
      </w:pPr>
      <w:r>
        <w:rPr>
          <w:b/>
          <w:color w:val="000000"/>
        </w:rPr>
        <w:t>DĖL NUTEISTŲJŲ AREŠTO, TERMINUOTO LAISVĖS ATĖMIMO IR LAISVĖS ATĖMIMO IKI GYVOS GALVOS BAUSMĖMIS PRISTATYMO Į BAUSMĖS ATLIKIMO VIETĄ TVARKOS PATVIRTINIMO</w:t>
      </w:r>
    </w:p>
    <w:p w:rsidR="00395402" w:rsidRDefault="00395402">
      <w:pPr>
        <w:jc w:val="center"/>
        <w:rPr>
          <w:color w:val="000000"/>
        </w:rPr>
      </w:pPr>
    </w:p>
    <w:p w:rsidR="00395402" w:rsidRDefault="001E729A">
      <w:pPr>
        <w:jc w:val="center"/>
        <w:rPr>
          <w:color w:val="000000"/>
        </w:rPr>
      </w:pPr>
      <w:r>
        <w:rPr>
          <w:color w:val="000000"/>
        </w:rPr>
        <w:t xml:space="preserve">2003 m. rugsėjo </w:t>
      </w:r>
      <w:r>
        <w:rPr>
          <w:color w:val="000000"/>
        </w:rPr>
        <w:t>2 d. Nr. 1109</w:t>
      </w:r>
    </w:p>
    <w:p w:rsidR="00395402" w:rsidRDefault="001E729A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395402" w:rsidRDefault="00395402">
      <w:pPr>
        <w:jc w:val="center"/>
        <w:rPr>
          <w:color w:val="000000"/>
        </w:rPr>
      </w:pP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Vadovaudamasi Lietuvos Respublikos bausmių vykdymo kodekso (Žin., 2002, Nr. </w:t>
      </w:r>
      <w:hyperlink r:id="rId9" w:tgtFrame="_blank" w:history="1">
        <w:r>
          <w:rPr>
            <w:color w:val="0000FF" w:themeColor="hyperlink"/>
            <w:u w:val="single"/>
          </w:rPr>
          <w:t>73-3084</w:t>
        </w:r>
      </w:hyperlink>
      <w:r>
        <w:rPr>
          <w:color w:val="000000"/>
        </w:rPr>
        <w:t>) 51 straipsnio 2 dalimi ir 66 straipsnio 7 dalimi, Lietuvos Respubliko</w:t>
      </w:r>
      <w:r>
        <w:rPr>
          <w:color w:val="000000"/>
        </w:rPr>
        <w:t xml:space="preserve">s Vyriausybė </w:t>
      </w:r>
      <w:r>
        <w:rPr>
          <w:color w:val="000000"/>
          <w:spacing w:val="60"/>
        </w:rPr>
        <w:t>nutari</w:t>
      </w:r>
      <w:r>
        <w:rPr>
          <w:color w:val="000000"/>
          <w:spacing w:val="20"/>
        </w:rPr>
        <w:t>a:</w:t>
      </w: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Patvirtinti Nuteistųjų arešto, terminuoto laisvės atėmimo ir laisvės atėmimo iki gyvos galvos bausmėmis pristatymo į bausmės atlikimo vietą tvarką (pridedama).</w:t>
      </w: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Pavesti Teisingumo ministerijai ir Vidaus reikalų ministerij</w:t>
      </w:r>
      <w:r>
        <w:rPr>
          <w:color w:val="000000"/>
        </w:rPr>
        <w:t>ai iki 2003 m. lapkričio 1 d. patvirtinti konvojavimo tvarką.</w:t>
      </w:r>
    </w:p>
    <w:p w:rsidR="00395402" w:rsidRDefault="00395402">
      <w:pPr>
        <w:ind w:firstLine="709"/>
        <w:jc w:val="both"/>
        <w:rPr>
          <w:color w:val="000000"/>
        </w:rPr>
      </w:pPr>
    </w:p>
    <w:p w:rsidR="001E729A" w:rsidRDefault="001E729A">
      <w:pPr>
        <w:ind w:firstLine="709"/>
        <w:jc w:val="both"/>
        <w:rPr>
          <w:color w:val="000000"/>
        </w:rPr>
      </w:pPr>
    </w:p>
    <w:p w:rsidR="00395402" w:rsidRDefault="001E729A">
      <w:pPr>
        <w:ind w:firstLine="709"/>
        <w:jc w:val="both"/>
        <w:rPr>
          <w:color w:val="000000"/>
        </w:rPr>
      </w:pPr>
    </w:p>
    <w:p w:rsidR="00395402" w:rsidRDefault="001E729A">
      <w:pPr>
        <w:tabs>
          <w:tab w:val="right" w:pos="9639"/>
        </w:tabs>
      </w:pPr>
      <w:r>
        <w:t>MINISTRAS PIRMININKAS</w:t>
      </w:r>
      <w:r>
        <w:tab/>
        <w:t>ALGIRDAS BRAZAUSKAS</w:t>
      </w:r>
    </w:p>
    <w:p w:rsidR="00395402" w:rsidRDefault="00395402">
      <w:pPr>
        <w:tabs>
          <w:tab w:val="right" w:pos="9639"/>
        </w:tabs>
      </w:pPr>
    </w:p>
    <w:p w:rsidR="001E729A" w:rsidRDefault="001E729A">
      <w:pPr>
        <w:tabs>
          <w:tab w:val="right" w:pos="9639"/>
        </w:tabs>
      </w:pPr>
    </w:p>
    <w:p w:rsidR="001E729A" w:rsidRDefault="001E729A">
      <w:pPr>
        <w:tabs>
          <w:tab w:val="right" w:pos="9639"/>
        </w:tabs>
      </w:pPr>
    </w:p>
    <w:p w:rsidR="00395402" w:rsidRDefault="001E729A">
      <w:pPr>
        <w:tabs>
          <w:tab w:val="right" w:pos="9639"/>
        </w:tabs>
      </w:pPr>
      <w:r>
        <w:t>TEISINGUMO MINISTRAS</w:t>
      </w:r>
      <w:r>
        <w:tab/>
        <w:t>VYTAUTAS MARKEVIČIUS</w:t>
      </w:r>
    </w:p>
    <w:p w:rsidR="00395402" w:rsidRDefault="001E729A">
      <w:pPr>
        <w:jc w:val="center"/>
        <w:rPr>
          <w:color w:val="000000"/>
        </w:rPr>
      </w:pPr>
    </w:p>
    <w:p w:rsidR="001E729A" w:rsidRDefault="001E729A">
      <w:pPr>
        <w:ind w:firstLine="5670"/>
        <w:sectPr w:rsidR="001E72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395402" w:rsidRDefault="001E729A">
      <w:pPr>
        <w:ind w:firstLine="5670"/>
      </w:pPr>
      <w:r>
        <w:lastRenderedPageBreak/>
        <w:t>PATVIRTINTA</w:t>
      </w:r>
    </w:p>
    <w:p w:rsidR="00395402" w:rsidRDefault="001E729A">
      <w:pPr>
        <w:ind w:firstLine="5670"/>
      </w:pPr>
      <w:r>
        <w:t>Lietuvos Respublikos Vyriausybės</w:t>
      </w:r>
    </w:p>
    <w:p w:rsidR="00395402" w:rsidRDefault="001E729A">
      <w:pPr>
        <w:ind w:firstLine="5670"/>
      </w:pPr>
      <w:r>
        <w:t>2003 m. rugsėjo 2 d. nutarimu</w:t>
      </w:r>
    </w:p>
    <w:p w:rsidR="00395402" w:rsidRDefault="001E729A">
      <w:pPr>
        <w:ind w:firstLine="5670"/>
      </w:pPr>
      <w:r>
        <w:t>Nr. 1109</w:t>
      </w:r>
    </w:p>
    <w:p w:rsidR="00395402" w:rsidRDefault="00395402">
      <w:pPr>
        <w:ind w:firstLine="709"/>
        <w:rPr>
          <w:color w:val="000000"/>
        </w:rPr>
      </w:pPr>
    </w:p>
    <w:p w:rsidR="00395402" w:rsidRDefault="001E729A">
      <w:pPr>
        <w:jc w:val="center"/>
        <w:rPr>
          <w:b/>
          <w:color w:val="000000"/>
        </w:rPr>
      </w:pPr>
      <w:r>
        <w:rPr>
          <w:b/>
          <w:color w:val="000000"/>
        </w:rPr>
        <w:t>NUTEISTŲJŲ AREŠTO, TERMINUOTO LAISVĖS ATĖMIMO IR LAISVĖS ATĖMIMO</w:t>
      </w:r>
    </w:p>
    <w:p w:rsidR="00395402" w:rsidRDefault="001E729A">
      <w:pPr>
        <w:jc w:val="center"/>
        <w:rPr>
          <w:b/>
          <w:color w:val="000000"/>
        </w:rPr>
      </w:pPr>
      <w:r>
        <w:rPr>
          <w:b/>
          <w:color w:val="000000"/>
        </w:rPr>
        <w:t>IKI GYVOS GALVOS BAUSMĖMIS PRISTATYMO Į BAUSMĖS ATLIKIMO VIETĄ</w:t>
      </w:r>
    </w:p>
    <w:p w:rsidR="00395402" w:rsidRDefault="001E729A">
      <w:pPr>
        <w:jc w:val="center"/>
        <w:rPr>
          <w:b/>
          <w:color w:val="000000"/>
        </w:rPr>
      </w:pPr>
      <w:r>
        <w:rPr>
          <w:b/>
          <w:color w:val="000000"/>
        </w:rPr>
        <w:t>TVARKA</w:t>
      </w:r>
    </w:p>
    <w:p w:rsidR="00395402" w:rsidRDefault="00395402">
      <w:pPr>
        <w:jc w:val="center"/>
        <w:rPr>
          <w:b/>
          <w:color w:val="000000"/>
        </w:rPr>
      </w:pPr>
    </w:p>
    <w:p w:rsidR="00395402" w:rsidRDefault="001E729A">
      <w:pPr>
        <w:jc w:val="center"/>
        <w:rPr>
          <w:b/>
          <w:color w:val="000000"/>
        </w:rPr>
      </w:pPr>
      <w:r>
        <w:rPr>
          <w:b/>
          <w:color w:val="000000"/>
        </w:rPr>
        <w:t>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BENDROSIOS NUOSTATOS</w:t>
      </w:r>
    </w:p>
    <w:p w:rsidR="00395402" w:rsidRDefault="00395402">
      <w:pPr>
        <w:ind w:firstLine="769"/>
        <w:rPr>
          <w:color w:val="000000"/>
        </w:rPr>
      </w:pP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Nuteistųjų arešto, terminuoto laisvės atėmimo ir laisvės atėmimo iki gyvos galvos </w:t>
      </w:r>
      <w:r>
        <w:rPr>
          <w:color w:val="000000"/>
        </w:rPr>
        <w:t>bausmėmis pristatymo į bausmės atlikimo vietą tvarka (toliau vadinama – Tvarka) reglamentuoja nuteistųjų pristatymo į bausmės atlikimo vietą organizavimą ir vykdymą.</w:t>
      </w: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Organizuojant ir vykdant nuteistųjų arešto, terminuoto laisvės atėmimo ir laisvės a</w:t>
      </w:r>
      <w:r>
        <w:rPr>
          <w:color w:val="000000"/>
        </w:rPr>
        <w:t>tėmimo iki gyvos galvos bausmėmis (toliau vadinama – nuteistieji) pristatymą į bausmės atlikimo vietą, vadovaujamasi Lietuvos Respublikos Konstitucija, Lietuvos Respublikos įstatymais, Lietuvos Respublikos Vyriausybės nutarimais ir kitais teisės aktais.</w:t>
      </w: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 Bausmės vykdymo pagrindas – tik įsiteisėjęs apkaltinamasis Lietuvos Respublikos teismo nuosprendis ir Lietuvos Respublikos tarptautinių sutarčių numatytais atvejais – užsienio valstybės teismo arba tarptautinės teisminės institucijos įsiteisėjęs apkal</w:t>
      </w:r>
      <w:r>
        <w:rPr>
          <w:color w:val="000000"/>
        </w:rPr>
        <w:t>tinamasis nuosprendis (sprendimas).</w:t>
      </w: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Jeigu paduotas apeliacinis skundas, nuosprendis gali būti pradėtas vykdyti tik tuo atveju, jeigu nuteistasis raštu pareiškia norą pradėti atlikti bausmę nelaukdamas, kol byla bus išnagrinėta apeliacine tvarka.</w:t>
      </w: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 Vidaus reikalų ministerijos viešojo saugumo pajėgų planinius maršrutus, suderinus su Kalėjimų departamentu prie Teisingumo ministerijos (toliau vadinama – Kalėjimų departamentas), tvirtina Vidaus reikalų ministerijos viešojo saugumo pajėgų vadas.</w:t>
      </w: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 Dokumentai, susiję su nuteistųjų pristatymu į bausmės atlikimo vietą, įforminami ir nuteistieji konvojuojami teisingumo ministro ir vidaus reikalų ministro nustatyta tvarka.</w:t>
      </w:r>
    </w:p>
    <w:p w:rsidR="00395402" w:rsidRDefault="001E729A">
      <w:pPr>
        <w:jc w:val="center"/>
        <w:rPr>
          <w:b/>
          <w:color w:val="000000"/>
        </w:rPr>
      </w:pPr>
    </w:p>
    <w:p w:rsidR="00395402" w:rsidRDefault="001E729A">
      <w:pPr>
        <w:jc w:val="center"/>
        <w:rPr>
          <w:b/>
          <w:color w:val="000000"/>
        </w:rPr>
      </w:pPr>
      <w:r>
        <w:rPr>
          <w:b/>
          <w:color w:val="000000"/>
        </w:rPr>
        <w:t>II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NUTEISTŲJŲ PRISTATYMO Į BAUSMĖS ATLIKIMO VIETĄ ORGANIZAVIMAS</w:t>
      </w:r>
    </w:p>
    <w:p w:rsidR="00395402" w:rsidRDefault="00395402">
      <w:pPr>
        <w:ind w:firstLine="709"/>
        <w:jc w:val="both"/>
        <w:rPr>
          <w:color w:val="000000"/>
        </w:rPr>
      </w:pP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</w:t>
      </w:r>
      <w:r>
        <w:rPr>
          <w:color w:val="000000"/>
        </w:rPr>
        <w:t xml:space="preserve">Nuteistieji arešto, terminuoto laisvės atėmimo bausmėmis, kuriems iki nuosprendžio įsiteisėjimo paskirta kardomoji priemonė – suėmimas, taip pat nuteistieji, kurie suimami po nuosprendžio skirti arešto, terminuoto laisvės atėmimo bausmę įsiteisėjimo, gali </w:t>
      </w:r>
      <w:r>
        <w:rPr>
          <w:color w:val="000000"/>
        </w:rPr>
        <w:t>būti laikinai, iki pristatomi į kardomąją priemonę – suėmimą vykdančią įstaigą ar bausmės atlikimo vietą, uždaromi į teritorinės policijos įstaigos areštinę.</w:t>
      </w: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>
        <w:rPr>
          <w:color w:val="000000"/>
        </w:rPr>
        <w:t xml:space="preserve">. Iš teritorinės policijos įstaigos areštinės nuteistuosius arešto bausme į bausmės atlikimo </w:t>
      </w:r>
      <w:r>
        <w:rPr>
          <w:color w:val="000000"/>
        </w:rPr>
        <w:t>vietą, o nuteistuosius terminuoto laisvės atėmimo bausme į kardomąją priemonę – suėmimą vykdančią įstaigą pristato Vidaus reikalų ministerijos viešojo saugumo pajėgų planinis konvojus.</w:t>
      </w: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 Jeigu šios Tvarkos 8 punkte nurodytus nuteistuosius pristatyti p</w:t>
      </w:r>
      <w:r>
        <w:rPr>
          <w:color w:val="000000"/>
        </w:rPr>
        <w:t>laniniu konvojumi nėra galimybės, teritorinės policijos įstaigos areštinės vadovo nurodymu nuteistuosius iš teritorinės policijos įstaigos areštinės į artimiausią konvojaus maršruto pasikeitimo punktą pristato ir Vidaus reikalų ministerijos viešojo saugumo</w:t>
      </w:r>
      <w:r>
        <w:rPr>
          <w:color w:val="000000"/>
        </w:rPr>
        <w:t xml:space="preserve"> pajėgų konvojui perduoda teritorinės policijos įstaigos konvojus.</w:t>
      </w: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>
        <w:rPr>
          <w:color w:val="000000"/>
        </w:rPr>
        <w:t>. Nuteistuosius iš kardomąją priemonę – suėmimą vykdančios įstaigos į bausmės atlikimo vietą pristato Vidaus reikalų ministerijos viešojo saugumo pajėgų konvojus.</w:t>
      </w: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 Nuteistuosiu</w:t>
      </w:r>
      <w:r>
        <w:rPr>
          <w:color w:val="000000"/>
        </w:rPr>
        <w:t>s laisvės atėmimo iki gyvos galvos bausme iš kardomąją priemonę – suėmimą vykdančios įstaigos į bausmės atlikimo vietą pristato Vidaus reikalų ministerijos viešojo saugumo pajėgų ypatingasis konvojus.</w:t>
      </w: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12</w:t>
      </w:r>
      <w:r>
        <w:rPr>
          <w:color w:val="000000"/>
        </w:rPr>
        <w:t>. Jeigu nuteistasis, kuriam suteikiama teisė trum</w:t>
      </w:r>
      <w:r>
        <w:rPr>
          <w:color w:val="000000"/>
        </w:rPr>
        <w:t xml:space="preserve">pai išvykti į namus su palydovu (palyda), per išvyką pabėga arba nuteistasis, kuriam suteikiama teisė trumpai išvykti į namus be palydovo </w:t>
      </w:r>
      <w:r>
        <w:rPr>
          <w:color w:val="000000"/>
        </w:rPr>
        <w:lastRenderedPageBreak/>
        <w:t>(palydos), nustatytuoju laiku be pateisinamos priežasties nesugrįžta į bausmės atlikimo vietą, pataisos įstaigos ar ar</w:t>
      </w:r>
      <w:r>
        <w:rPr>
          <w:color w:val="000000"/>
        </w:rPr>
        <w:t>eštinės administracija raštu informuoja teritorinę policijos įstaigą, kurios aptarnaujamoje teritorijoje yra ši įstaiga, ir į trumpalaikę išvyką išleisto nuteistojo atvykimo vietovės teritorinę policijos įstaigą. Sulaikytas nuteistasis į bausmės atlikimo v</w:t>
      </w:r>
      <w:r>
        <w:rPr>
          <w:color w:val="000000"/>
        </w:rPr>
        <w:t>ietą pristatomas šios Tvarkos 8–10 punktuose nustatyta tvarka.</w:t>
      </w: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13</w:t>
      </w:r>
      <w:r>
        <w:rPr>
          <w:color w:val="000000"/>
        </w:rPr>
        <w:t>. Jeigu nuteistasis arešto bausmę atlieka poilsio dienomis ir sutartu laiku neatvyksta į areštinę atlikti bausmės ir nepraneša areštinės administracijai apie neatvykimo priežastis, arešti</w:t>
      </w:r>
      <w:r>
        <w:rPr>
          <w:color w:val="000000"/>
        </w:rPr>
        <w:t>nės administracija raštu informuoja teritorinę policijos įstaigą, kurios aptarnaujamoje teritorijoje yra areštinė, ir nuteistojo gyvenamosios vietovės teritorinę policijos įstaigą. Sulaikytas nuteistasis į areštinę pristatomas šios Tvarkos 8 ir 9 punktuose</w:t>
      </w:r>
      <w:r>
        <w:rPr>
          <w:color w:val="000000"/>
        </w:rPr>
        <w:t xml:space="preserve"> nustatyta tvarka.</w:t>
      </w: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14</w:t>
      </w:r>
      <w:r>
        <w:rPr>
          <w:color w:val="000000"/>
        </w:rPr>
        <w:t>. Nuteistuosius į laisvės atėmimo vietos ligoninę arba kitą asmens sveikatos priežiūros įstaigą pristato Vidaus reikalų ministerijos viešojo saugumo pajėgų planinis konvojus. Ypatingais atvejais pataisos įstaigos, tardymo izoliator</w:t>
      </w:r>
      <w:r>
        <w:rPr>
          <w:color w:val="000000"/>
        </w:rPr>
        <w:t>iaus ar areštinės Sveikatos priežiūros tarnybos viršininko, o jeigu jo nėra – kito pataisos įstaigos, tardymo izoliatoriaus ar areštinės medicinos darbuotojo arba direktoriaus įgalioto asmens siuntimu nuteistuosius į laisvės atėmimo vietos ligoninę arba ki</w:t>
      </w:r>
      <w:r>
        <w:rPr>
          <w:color w:val="000000"/>
        </w:rPr>
        <w:t>tą asmens sveikatos priežiūros įstaigą gali pristatyti kardomąją priemonę – suėmimą vykdančios įstaigos, pataisos įstaigos ar areštinės konvojus.</w:t>
      </w:r>
    </w:p>
    <w:p w:rsidR="00395402" w:rsidRDefault="001E729A">
      <w:pPr>
        <w:ind w:firstLine="769"/>
        <w:jc w:val="both"/>
        <w:rPr>
          <w:color w:val="000000"/>
        </w:rPr>
      </w:pPr>
    </w:p>
    <w:p w:rsidR="00395402" w:rsidRDefault="001E729A">
      <w:pPr>
        <w:jc w:val="center"/>
        <w:rPr>
          <w:b/>
          <w:color w:val="000000"/>
        </w:rPr>
      </w:pPr>
      <w:r>
        <w:rPr>
          <w:b/>
          <w:color w:val="000000"/>
        </w:rPr>
        <w:t>III</w:t>
      </w:r>
      <w:r>
        <w:rPr>
          <w:b/>
          <w:color w:val="000000"/>
        </w:rPr>
        <w:t xml:space="preserve">. </w:t>
      </w:r>
      <w:r>
        <w:rPr>
          <w:b/>
          <w:color w:val="000000"/>
        </w:rPr>
        <w:t>BAIGIAMOSIOS NUOSTATOS</w:t>
      </w:r>
    </w:p>
    <w:p w:rsidR="00395402" w:rsidRDefault="00395402">
      <w:pPr>
        <w:ind w:firstLine="709"/>
        <w:jc w:val="both"/>
        <w:rPr>
          <w:color w:val="000000"/>
        </w:rPr>
      </w:pPr>
    </w:p>
    <w:p w:rsidR="00395402" w:rsidRDefault="001E729A">
      <w:pPr>
        <w:ind w:firstLine="709"/>
        <w:jc w:val="both"/>
        <w:rPr>
          <w:color w:val="000000"/>
        </w:rPr>
      </w:pPr>
      <w:r>
        <w:rPr>
          <w:color w:val="000000"/>
        </w:rPr>
        <w:t>15</w:t>
      </w:r>
      <w:r>
        <w:rPr>
          <w:color w:val="000000"/>
        </w:rPr>
        <w:t xml:space="preserve">. Už nuteistųjų pristatymo į bausmės atlikimo vietą organizavimą ir </w:t>
      </w:r>
      <w:r>
        <w:rPr>
          <w:color w:val="000000"/>
        </w:rPr>
        <w:t>vykdymą pagal kompetenciją atsakingos Kalėjimų departamentui pavaldžios įstaigos, Policijos departamento prie Vidaus reikalų ministerijos teritorinės policijos įstaigos ir Vidaus reikalų ministerijos viešojo saugumo pajėgos.</w:t>
      </w:r>
    </w:p>
    <w:p w:rsidR="00395402" w:rsidRDefault="001E729A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:rsidR="00395402" w:rsidRDefault="001E729A"/>
    <w:bookmarkStart w:id="0" w:name="_GoBack" w:displacedByCustomXml="next"/>
    <w:bookmarkEnd w:id="0" w:displacedByCustomXml="next"/>
    <w:sectPr w:rsidR="00395402" w:rsidSect="001E729A"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02" w:rsidRDefault="001E729A">
      <w:r>
        <w:separator/>
      </w:r>
    </w:p>
  </w:endnote>
  <w:endnote w:type="continuationSeparator" w:id="0">
    <w:p w:rsidR="00395402" w:rsidRDefault="001E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02" w:rsidRDefault="0039540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02" w:rsidRDefault="0039540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02" w:rsidRDefault="0039540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02" w:rsidRDefault="001E729A">
      <w:r>
        <w:separator/>
      </w:r>
    </w:p>
  </w:footnote>
  <w:footnote w:type="continuationSeparator" w:id="0">
    <w:p w:rsidR="00395402" w:rsidRDefault="001E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02" w:rsidRDefault="001E729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395402" w:rsidRDefault="00395402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02" w:rsidRDefault="001E729A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:rsidR="00395402" w:rsidRDefault="00395402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02" w:rsidRDefault="00395402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7B"/>
    <w:rsid w:val="001E729A"/>
    <w:rsid w:val="0020087B"/>
    <w:rsid w:val="003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6886EB"/>
  <w15:docId w15:val="{FC16AAB3-64C8-4200-AC35-71041E2E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hyperlink" TargetMode="External" Target="https://www.e-tar.lt/portal/lt/legalAct/TAR.A0A0CCC6B997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4041</Words>
  <Characters>2304</Characters>
  <Application>Microsoft Office Word</Application>
  <DocSecurity>0</DocSecurity>
  <Lines>19</Lines>
  <Paragraphs>12</Paragraphs>
  <ScaleCrop>false</ScaleCrop>
  <Company/>
  <LinksUpToDate>false</LinksUpToDate>
  <CharactersWithSpaces>6333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2015-07-04T19:26:00Z</dcterms:created>
  <dc:creator>marina.buivid@gmail.com</dc:creator>
  <lastModifiedBy>BODIN Aušra</lastModifiedBy>
  <dcterms:modified xsi:type="dcterms:W3CDTF">2022-11-16T12:49:00Z</dcterms:modified>
  <revision>3</revision>
</coreProperties>
</file>