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37" w:rsidRDefault="00112537">
      <w:pPr>
        <w:tabs>
          <w:tab w:val="center" w:pos="4153"/>
          <w:tab w:val="right" w:pos="8306"/>
        </w:tabs>
        <w:rPr>
          <w:lang w:val="en-GB"/>
        </w:rPr>
      </w:pPr>
    </w:p>
    <w:p w:rsidR="00112537" w:rsidRDefault="00895C16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 SVEIKATOS APSAUGOS MINISTERIJA</w:t>
      </w:r>
    </w:p>
    <w:p w:rsidR="00112537" w:rsidRDefault="00112537">
      <w:pPr>
        <w:jc w:val="center"/>
        <w:rPr>
          <w:color w:val="000000"/>
        </w:rPr>
      </w:pPr>
    </w:p>
    <w:p w:rsidR="00112537" w:rsidRDefault="00895C16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:rsidR="00112537" w:rsidRDefault="00895C16">
      <w:pPr>
        <w:jc w:val="center"/>
        <w:rPr>
          <w:b/>
          <w:color w:val="000000"/>
        </w:rPr>
      </w:pPr>
      <w:r>
        <w:rPr>
          <w:b/>
          <w:color w:val="000000"/>
        </w:rPr>
        <w:t>DĖL NĖŠTUMO NUTRAUKIMO OPERACIJOS ATLIKIMO TVARKOS</w:t>
      </w:r>
    </w:p>
    <w:p w:rsidR="00112537" w:rsidRDefault="00112537">
      <w:pPr>
        <w:jc w:val="center"/>
        <w:rPr>
          <w:color w:val="000000"/>
        </w:rPr>
      </w:pPr>
    </w:p>
    <w:p w:rsidR="00112537" w:rsidRDefault="00895C16">
      <w:pPr>
        <w:jc w:val="center"/>
        <w:rPr>
          <w:color w:val="000000"/>
        </w:rPr>
      </w:pPr>
      <w:r>
        <w:rPr>
          <w:color w:val="000000"/>
        </w:rPr>
        <w:t>1994 m. sausio 28 d. Nr. 50</w:t>
      </w:r>
    </w:p>
    <w:p w:rsidR="00112537" w:rsidRDefault="00895C16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112537" w:rsidRDefault="00112537">
      <w:pPr>
        <w:ind w:firstLine="709"/>
        <w:rPr>
          <w:color w:val="000000"/>
        </w:rPr>
      </w:pP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Siekdamas mažinti nėštumo nutraukimo operacijų ir su jomis susi</w:t>
      </w:r>
      <w:r>
        <w:rPr>
          <w:color w:val="000000"/>
        </w:rPr>
        <w:t>jusių komplikacijų skaičių: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Nustatau nėštumo nutraukimo operacijos atlikimo tvarką (1 priedas).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Tvirtinu motinos ir vaisiaus sveikatai bei gyvybei grėsmingų ligų ir būsenų sąrašą (2 priedas).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Įsakymas įsigalioja, jį paskelbus „Valstybė</w:t>
      </w:r>
      <w:r>
        <w:rPr>
          <w:color w:val="000000"/>
        </w:rPr>
        <w:t>s žiniose“.</w:t>
      </w:r>
    </w:p>
    <w:p w:rsidR="00112537" w:rsidRDefault="00895C16" w:rsidP="00895C16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Nustatau, kad Lietuvos Respublikoje nebegalioja TSRS Sveikatos apsaugos ministerijos 1982.03.16 įsakymu Nr. 234 patvirtinta nėštumo nutraukimo operacijų atlikimo tvarka.</w:t>
      </w:r>
    </w:p>
    <w:p w:rsidR="00895C16" w:rsidRDefault="00895C16">
      <w:pPr>
        <w:tabs>
          <w:tab w:val="right" w:pos="9639"/>
        </w:tabs>
      </w:pPr>
    </w:p>
    <w:p w:rsidR="00895C16" w:rsidRDefault="00895C16">
      <w:pPr>
        <w:tabs>
          <w:tab w:val="right" w:pos="9639"/>
        </w:tabs>
      </w:pPr>
    </w:p>
    <w:p w:rsidR="00895C16" w:rsidRDefault="00895C16">
      <w:pPr>
        <w:tabs>
          <w:tab w:val="right" w:pos="9639"/>
        </w:tabs>
      </w:pPr>
    </w:p>
    <w:p w:rsidR="00112537" w:rsidRDefault="00895C16" w:rsidP="00895C16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  <w:t>JURGIS BRĖDIKIS</w:t>
      </w:r>
    </w:p>
    <w:p w:rsidR="00895C16" w:rsidRDefault="00895C16">
      <w:pPr>
        <w:ind w:firstLine="5102"/>
        <w:sectPr w:rsidR="00895C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112537" w:rsidRDefault="00895C16">
      <w:pPr>
        <w:ind w:firstLine="5102"/>
        <w:rPr>
          <w:color w:val="000000"/>
        </w:rPr>
      </w:pPr>
      <w:r>
        <w:rPr>
          <w:color w:val="000000"/>
        </w:rPr>
        <w:lastRenderedPageBreak/>
        <w:t>Sveikatos apsaugos ministerijos</w:t>
      </w:r>
    </w:p>
    <w:p w:rsidR="00112537" w:rsidRDefault="00895C16">
      <w:pPr>
        <w:ind w:firstLine="5102"/>
        <w:rPr>
          <w:color w:val="000000"/>
        </w:rPr>
      </w:pPr>
      <w:r>
        <w:rPr>
          <w:color w:val="000000"/>
        </w:rPr>
        <w:t>1994 m. sausio 28 d. įsakymo Nr. 50</w:t>
      </w:r>
    </w:p>
    <w:p w:rsidR="00112537" w:rsidRDefault="00895C16">
      <w:pPr>
        <w:ind w:firstLine="5102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 priedas</w:t>
      </w:r>
    </w:p>
    <w:p w:rsidR="00112537" w:rsidRDefault="00112537">
      <w:pPr>
        <w:ind w:firstLine="709"/>
        <w:rPr>
          <w:color w:val="000000"/>
        </w:rPr>
      </w:pPr>
    </w:p>
    <w:p w:rsidR="00112537" w:rsidRDefault="00895C16">
      <w:pPr>
        <w:jc w:val="center"/>
        <w:rPr>
          <w:b/>
          <w:color w:val="000000"/>
        </w:rPr>
      </w:pPr>
      <w:r>
        <w:rPr>
          <w:b/>
          <w:color w:val="000000"/>
        </w:rPr>
        <w:t>NĖŠTUMO NUTRAUKIMO OPERACIJOS ATLIKIMO TVARKA</w:t>
      </w:r>
    </w:p>
    <w:p w:rsidR="00112537" w:rsidRDefault="00112537">
      <w:pPr>
        <w:ind w:firstLine="709"/>
        <w:rPr>
          <w:color w:val="000000"/>
        </w:rPr>
      </w:pP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Nėštumo nutraukimas pagal moters pageidavimą.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 xml:space="preserve">. Moteriai pageidaujant, leidžiama nutraukti nėštumą iki 12 </w:t>
      </w:r>
      <w:r>
        <w:rPr>
          <w:color w:val="000000"/>
        </w:rPr>
        <w:t>savaičių, jei nėra šiai operacijai kontraindikacijų. Didesnį nei 12 sav. nėštumą leidžiama nutraukti, kai jis gresia moters gyvybei ir sveikatai (2 p.).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Kontraindikacijos nėštumui nutraukti: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ūmūs ir poūmiai genitalijų uždegimai;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ūmūs ir poūmiai </w:t>
      </w:r>
      <w:r>
        <w:rPr>
          <w:color w:val="000000"/>
        </w:rPr>
        <w:t>kitos lokalizacijos uždegimai;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ūmios infekcinės ligos.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Nėštumo nutraukimo operaciją leidžiama atlikti tik išgydžius šias ligas.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Visais atvejais nėštumas gali būti nutraukiamas tik stacionaro ginekologijos skyriuje.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Dėl siuntimo į ginekolo</w:t>
      </w:r>
      <w:r>
        <w:rPr>
          <w:color w:val="000000"/>
        </w:rPr>
        <w:t>gijos stacionarą moteris turi kreiptis į ambulatorinę pagalbą teikiantį gydytoją akušerį- ginekologą.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Iki išduodant siuntimą nėštumui nutraukti, būtina moteriai (pageidautina ir sutuoktiniui) paaiškinti apie nėštumo nutraukimo žalą moters sveikata</w:t>
      </w:r>
      <w:r>
        <w:rPr>
          <w:color w:val="000000"/>
        </w:rPr>
        <w:t>i, fizinę ir moralinę žalą abiems sutuoktiniams. Šią informaciją pateikia siuntimą išduodantis gydytojas akušeris-ginekologas, o pirmojo nėštumo atveju – gydytojas kartu su moterų konsultacijos vedėju. Pageidautina, kad pokalbyje dalyvautų psichologas.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.6</w:t>
      </w:r>
      <w:r>
        <w:rPr>
          <w:color w:val="000000"/>
        </w:rPr>
        <w:t xml:space="preserve">. Nutraukiant nėštumą nepilnametėms iki 16 metų, būtinas, o nuo 16 iki 18 metų pageidautinas raštiškas sutikimas vieno iš tėvų, įtėvių, globėjų, rūpintojų ar faktiškai jas auginančių asmenų. Sutikimą duodantis asmuo turi atvykti pats arba jo rašytinis </w:t>
      </w:r>
      <w:r>
        <w:rPr>
          <w:color w:val="000000"/>
        </w:rPr>
        <w:t>sutikimas turi būti patvirtintas notaro.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Iki išduodant siuntimą nėštumui nutraukti, moterų konsultacijos gydytojas akušeris-ginekologas nustato nėštumo laiką ir išsiaiškina, ar nėra kontraindikacijų šiai operacijai.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Nėščiajai atliekami: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bendras kr</w:t>
      </w:r>
      <w:r>
        <w:rPr>
          <w:color w:val="000000"/>
        </w:rPr>
        <w:t>aujo tyrimas;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kraujo tyrimas dėl WAR;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tepinėlis iš gimdos kaklelio;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kraujo grupė ir Rh;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kraujo tyrimas dėl AIDS atliekamas, tik esant klinikiniams, epidemiologiniams simptomams, pacientei sutikus ar jai pageidaujant.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Esant indikacijoms, atliekami ir kiti k</w:t>
      </w:r>
      <w:r>
        <w:rPr>
          <w:color w:val="000000"/>
        </w:rPr>
        <w:t>linikiniai laboratoriniai bei specialūs tyrimai.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Tyrimų duomenys įrašomi į ambulatorinę kortelę.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Siuntime nėštumui nutraukti (fNr. 028/y) turi būti pažymėta: nėštumo laikas, tyrimų rezultatai, o esant medicininėms indikacijoms susirgimas, dėl kuri</w:t>
      </w:r>
      <w:r>
        <w:rPr>
          <w:color w:val="000000"/>
        </w:rPr>
        <w:t>o gali būti nutraukiamas nėštumas.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1.9</w:t>
      </w:r>
      <w:r>
        <w:rPr>
          <w:color w:val="000000"/>
        </w:rPr>
        <w:t>. Ginekologijos stacionare iki nėštumo nutraukimo operacijos moteris turi raštu pareikšti apie savo apsisprendimą nutraukti nėštumą.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>. Nėštumo nutraukimo operacijas atlieka stacionarų ginekologijos skyrių g</w:t>
      </w:r>
      <w:r>
        <w:rPr>
          <w:color w:val="000000"/>
        </w:rPr>
        <w:t>ydytojai akušeriai-ginekologai, o mikroabortus moterų konsultacijų, kuriose įrengtos operacinės, gydytojai akušeriai-ginekologai.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1.11</w:t>
      </w:r>
      <w:r>
        <w:rPr>
          <w:color w:val="000000"/>
        </w:rPr>
        <w:t>. Ginekologijos stacionare turi būti užpildyta istorija (fNr. 003-1/a), į kurią įklijuojamas siuntimas ir moters rašti</w:t>
      </w:r>
      <w:r>
        <w:rPr>
          <w:color w:val="000000"/>
        </w:rPr>
        <w:t>škas sutikimas nutraukti nėštumą.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Nėštumo nutraukimo operacijos registruojamos operacijų žurnale.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1.12</w:t>
      </w:r>
      <w:r>
        <w:rPr>
          <w:color w:val="000000"/>
        </w:rPr>
        <w:t>. Nėštumo nutraukimo operacijos turi būti atliekamos tik nuskausminus.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1.13</w:t>
      </w:r>
      <w:r>
        <w:rPr>
          <w:color w:val="000000"/>
        </w:rPr>
        <w:t xml:space="preserve">. Po pirmojo nėštumo nutraukimo operacijos, esant Rh(-), suleidžiamas </w:t>
      </w:r>
      <w:r>
        <w:rPr>
          <w:color w:val="000000"/>
        </w:rPr>
        <w:t>antirezus D imunoglobulinas.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1.14</w:t>
      </w:r>
      <w:r>
        <w:rPr>
          <w:color w:val="000000"/>
        </w:rPr>
        <w:t>. Apie moters išrašymo iš ginekologijos stacionaro laiką sprendžia gydytojas akušeris-ginekologas.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1.15</w:t>
      </w:r>
      <w:r>
        <w:rPr>
          <w:color w:val="000000"/>
        </w:rPr>
        <w:t xml:space="preserve">. Po nėštumo nutraukimo operacijos gydytojas akušeris- ginekologas dirbančioms moterims gali išduoti </w:t>
      </w:r>
      <w:r>
        <w:rPr>
          <w:color w:val="000000"/>
        </w:rPr>
        <w:t>nedarbingumo pažymėjimą ne ilgiau kaip 2 kalendorinėms dienoms. Esant komplikacijoms, nedarbingumo pažymėjimas tęsiamas taisyklėse nustatyta tvarka (žr. Nedarbingumo pažymėjimų davimo taisyklės 1991m. liepos 29 d.).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1.16</w:t>
      </w:r>
      <w:r>
        <w:rPr>
          <w:color w:val="000000"/>
        </w:rPr>
        <w:t>. Savaiminio persileidimo ar nėš</w:t>
      </w:r>
      <w:r>
        <w:rPr>
          <w:color w:val="000000"/>
        </w:rPr>
        <w:t>tumo nutraukimo pagal medicinines indikacijas atvejais dirbančioms moterims išduodamas nedarbingumo pažymėjimas nuo pirmos nedarbingumo dienos (žr. Nedarbingumo pažymėjimų davimo taisyklės 1991 m. liepos 29 d.).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1.17</w:t>
      </w:r>
      <w:r>
        <w:rPr>
          <w:color w:val="000000"/>
        </w:rPr>
        <w:t>. Po nėštumo nutraukimo operacijos s</w:t>
      </w:r>
      <w:r>
        <w:rPr>
          <w:color w:val="000000"/>
        </w:rPr>
        <w:t>tacionaro gydytojas akušeris-ginekologas privalo išsiųsti išrašą fNr. 027/a į moterų konsultaciją, išdavusią siuntimą.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1.18</w:t>
      </w:r>
      <w:r>
        <w:rPr>
          <w:color w:val="000000"/>
        </w:rPr>
        <w:t>. Gydytojas akušeris-ginekologas, apžiūrėjęs pacientę ir įtaręs, kad jai galėjo būti atliktas kriminalinis abortas, skubiai infor</w:t>
      </w:r>
      <w:r>
        <w:rPr>
          <w:color w:val="000000"/>
        </w:rPr>
        <w:t>muoja įstaigos vadovą, o pastarasis prokuratūrą.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Kontraindikuotino nėštumo nutraukimas.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Jei dėl nėštumo motinos gyvybei ir sveikatai gresia pavojus, jis nutraukiamas, neatsižvelgiant į nėštumo laiką (Motinos ir vaisiaus sveikatai bei gyvybe</w:t>
      </w:r>
      <w:r>
        <w:rPr>
          <w:color w:val="000000"/>
        </w:rPr>
        <w:t>i grėsmingų ligų ir būsenų sąrašas 2 priede).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Nėštumas nutraukiamas tik atsiradus realiai grėsmei motinos sveikatai ir gyvybei. Rekomenduotina nėštumą nutraukti iki 12 nėštumo savaičių.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Grėsmingų motinos ir vaisiaus gyvybei bei sveikatai ligų ir b</w:t>
      </w:r>
      <w:r>
        <w:rPr>
          <w:color w:val="000000"/>
        </w:rPr>
        <w:t>ūsenų atvejais fertilinio amžiaus moterys turi būti dispanserizuotos. Norinčios gimdyti moterys turi būti nuodugniai ištirtos prieš pastojant. Nėštumo planavimo, tęsimo, ilgalaikės kontracepcijos priemonių parinkimo, kai nėštumas kontraindikuotinas, klausi</w:t>
      </w:r>
      <w:r>
        <w:rPr>
          <w:color w:val="000000"/>
        </w:rPr>
        <w:t>mus sprendžia gydytojų komisija. Ji įvertina ir indikacijas nėštumui nutraukti.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 xml:space="preserve">. Gydytojų komisijos veikia Vilniaus universitetinėje moterų klinikoje, Kauno medicinos akademijos akušerijos- ginekologijos klinikoje, Klaipėdos m. ligoninėje, Šiaulių </w:t>
      </w:r>
      <w:r>
        <w:rPr>
          <w:color w:val="000000"/>
        </w:rPr>
        <w:t>ir Panevėžio respublikinėse ligoninėse.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Gydytojų komisijos pirmininku turi būti skiriamas akušeris- ginekologas. Be jo, į komisiją turi įeiti terapeutas, neuropatologas ir kviečiamas gydytojas specialistas pagal ligos profilį. Komisijos pirmininkas skiriam</w:t>
      </w:r>
      <w:r>
        <w:rPr>
          <w:color w:val="000000"/>
        </w:rPr>
        <w:t>as, suderinus su perinatologijos centrų vadovais.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Su gydytojų komisijos sprendimu moteris supažindinama pasirašytinai. Gydytojų komisijos išvada dėl nėštumo nutraukimo pagal medicinines indikacijas turi būti patvirtinta komisijos narių ir jos pirmininko pa</w:t>
      </w:r>
      <w:r>
        <w:rPr>
          <w:color w:val="000000"/>
        </w:rPr>
        <w:t>rašais bei gydymo įstaigos antspaudu. Išvada surašoma į dokumentą Nr. 27. Psichikos ar veneros ligų atvejais šis dokumentas perduodamas į akušerijos-ginekologijos stacionarą tiesiogiai.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Diagnozavus nesuderinamą su gyvybe vaisiaus apsigimimą, nėštu</w:t>
      </w:r>
      <w:r>
        <w:rPr>
          <w:color w:val="000000"/>
        </w:rPr>
        <w:t>mas gali būti nutraukiamas, tik išaiškinus moteriai (pageidautina ir sutuoktiniui) galimas priešlaikinio nėštumo nutraukimo pasekmes motinos sveikatai.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2.5</w:t>
      </w:r>
      <w:r>
        <w:rPr>
          <w:color w:val="000000"/>
        </w:rPr>
        <w:t xml:space="preserve">. Ilgesnis nei 12 savaičių nėštumas pagal medicinines indikacijas nutraukiamas Vilniaus ir Kauno </w:t>
      </w:r>
      <w:r>
        <w:rPr>
          <w:color w:val="000000"/>
        </w:rPr>
        <w:t>perinatologijos centruose.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2.6</w:t>
      </w:r>
      <w:r>
        <w:rPr>
          <w:color w:val="000000"/>
        </w:rPr>
        <w:t>. Moterys nėštumui nutraukti pagal medicinines indikacijas vežamos respublikinių ligoninių transportu.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Visais atvejais nėštumui nutraukti būtinas moters (pageidautinas ir sutuoktinio) sutikimas.</w:t>
      </w: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Kontraindik</w:t>
      </w:r>
      <w:r>
        <w:rPr>
          <w:color w:val="000000"/>
        </w:rPr>
        <w:t>uotino nėštumo nutraukimo operacijos atliekamos nemokamai, kitais atvejais yra apmokamos pagal Sveikatos apsaugos ministerijos nustatytus įkainius.</w:t>
      </w:r>
    </w:p>
    <w:p w:rsidR="00112537" w:rsidRDefault="00112537">
      <w:pPr>
        <w:ind w:firstLine="709"/>
        <w:jc w:val="both"/>
        <w:rPr>
          <w:color w:val="000000"/>
        </w:rPr>
      </w:pPr>
    </w:p>
    <w:p w:rsidR="00112537" w:rsidRDefault="00895C16">
      <w:pPr>
        <w:ind w:firstLine="709"/>
        <w:jc w:val="both"/>
        <w:rPr>
          <w:color w:val="000000"/>
        </w:rPr>
      </w:pPr>
      <w:r>
        <w:rPr>
          <w:color w:val="000000"/>
        </w:rPr>
        <w:t>Pastaba. Nėštumo nutraukimo operacijos atlikimo tvarkos privalo laikytis ir privačia praktika besiverčianty</w:t>
      </w:r>
      <w:r>
        <w:rPr>
          <w:color w:val="000000"/>
        </w:rPr>
        <w:t>s gydytojai akušeriai- ginekologai.</w:t>
      </w:r>
    </w:p>
    <w:p w:rsidR="00112537" w:rsidRDefault="00112537">
      <w:pPr>
        <w:ind w:firstLine="709"/>
        <w:jc w:val="both"/>
        <w:rPr>
          <w:color w:val="000000"/>
        </w:rPr>
      </w:pPr>
    </w:p>
    <w:p w:rsidR="00112537" w:rsidRDefault="00895C16">
      <w:pPr>
        <w:tabs>
          <w:tab w:val="right" w:pos="9639"/>
        </w:tabs>
        <w:rPr>
          <w:caps/>
        </w:rPr>
      </w:pPr>
      <w:r>
        <w:rPr>
          <w:caps/>
        </w:rPr>
        <w:t xml:space="preserve">MOTINOS IR VAIKO SVEIKATOS APSAUGOS </w:t>
      </w:r>
    </w:p>
    <w:p w:rsidR="00112537" w:rsidRDefault="00895C16">
      <w:pPr>
        <w:tabs>
          <w:tab w:val="right" w:pos="9639"/>
        </w:tabs>
        <w:rPr>
          <w:caps/>
        </w:rPr>
      </w:pPr>
      <w:r>
        <w:rPr>
          <w:caps/>
        </w:rPr>
        <w:t>SKYRIAUS VIRŠININKĖ</w:t>
      </w:r>
      <w:r>
        <w:rPr>
          <w:caps/>
        </w:rPr>
        <w:tab/>
        <w:t>V. VAINAUSKIENĖ</w:t>
      </w:r>
    </w:p>
    <w:p w:rsidR="00112537" w:rsidRDefault="00895C16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:rsidR="00895C16" w:rsidRDefault="00895C16">
      <w:pPr>
        <w:ind w:firstLine="5102"/>
        <w:sectPr w:rsidR="00895C16" w:rsidSect="00895C16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112537" w:rsidRDefault="00895C16">
      <w:pPr>
        <w:ind w:firstLine="5102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Sveikatos apsaugos ministerijos</w:t>
      </w:r>
    </w:p>
    <w:p w:rsidR="00112537" w:rsidRDefault="00895C16">
      <w:pPr>
        <w:ind w:firstLine="5102"/>
        <w:rPr>
          <w:color w:val="000000"/>
        </w:rPr>
      </w:pPr>
      <w:r>
        <w:rPr>
          <w:color w:val="000000"/>
        </w:rPr>
        <w:t>1994 m. sausio 28 d. įsakymo Nr. 50</w:t>
      </w:r>
    </w:p>
    <w:p w:rsidR="00112537" w:rsidRDefault="00895C16">
      <w:pPr>
        <w:ind w:firstLine="5102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 priedas</w:t>
      </w:r>
    </w:p>
    <w:p w:rsidR="00112537" w:rsidRDefault="00112537">
      <w:pPr>
        <w:ind w:firstLine="709"/>
        <w:rPr>
          <w:color w:val="000000"/>
        </w:rPr>
      </w:pPr>
    </w:p>
    <w:p w:rsidR="00112537" w:rsidRDefault="00895C1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LIGOS IR BŪSENOS, KURIOS GALI BŪTI GRĖSMINGOS NĖŠČIOS MOTERS IR VAISIAUS GYVYBEI BEI SVEIKATAI </w:t>
      </w:r>
    </w:p>
    <w:p w:rsidR="00112537" w:rsidRDefault="00112537">
      <w:pPr>
        <w:jc w:val="center"/>
        <w:rPr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477"/>
        <w:gridCol w:w="3776"/>
        <w:gridCol w:w="1920"/>
        <w:gridCol w:w="1927"/>
      </w:tblGrid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Eil. Nr</w:t>
            </w:r>
          </w:p>
        </w:tc>
        <w:tc>
          <w:tcPr>
            <w:tcW w:w="0" w:type="auto"/>
          </w:tcPr>
          <w:p w:rsidR="00112537" w:rsidRDefault="00895C1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IX Tarptautinės ligų klasifikacijos rubrika</w:t>
            </w:r>
          </w:p>
        </w:tc>
        <w:tc>
          <w:tcPr>
            <w:tcW w:w="0" w:type="auto"/>
          </w:tcPr>
          <w:p w:rsidR="00112537" w:rsidRDefault="00895C1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Liga arba būsena</w:t>
            </w:r>
          </w:p>
        </w:tc>
        <w:tc>
          <w:tcPr>
            <w:tcW w:w="0" w:type="auto"/>
          </w:tcPr>
          <w:p w:rsidR="00112537" w:rsidRDefault="00895C1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Susirgimo forma, stadija, laipsnis</w:t>
            </w:r>
          </w:p>
        </w:tc>
        <w:tc>
          <w:tcPr>
            <w:tcW w:w="0" w:type="auto"/>
          </w:tcPr>
          <w:p w:rsidR="00112537" w:rsidRDefault="00895C1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Pastabos</w:t>
            </w: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 Infekcinės ir parazitinės ligos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1.056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Raudonukė ir kontaktas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Serologiškai patvirtinus, su ja nutraukiamas iki 16 nėštumo sav.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1.130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Toksoplazmozė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Pirmi 3 nėštumo mėn., atsiradus IgM klasės antikūnams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771.1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Citomegalo virusinė infekcija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ŽIV infekcija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  <w:lang w:eastAsia="lt-LT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AIDS 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II. </w:t>
            </w:r>
            <w:r>
              <w:rPr>
                <w:b/>
                <w:sz w:val="20"/>
              </w:rPr>
              <w:t>Augliai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140-184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Visų lokalizacijų piktybiniai augliai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III. Endokrininės ligos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242.0-9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Tireotoksikozė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Sunkios formos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243, 244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Įgimta ir įgyta hipotireozė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Nekompensuota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250. 0-0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Abiejų sutuoktinių cukrinis diabetas, diabetinė </w:t>
            </w:r>
            <w:r>
              <w:rPr>
                <w:sz w:val="20"/>
                <w:lang w:eastAsia="lt-LT"/>
              </w:rPr>
              <w:t>proliferuojanti retinopatija ir nefropatija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252.0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Hiperparatireozė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252.1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Hipoparatireozė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255.0,1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Antinksčių ligos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3-6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Kušingo ligos spindulinis ir medikamentinis gydymas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277.3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Amiloidozė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Aktyvi fazė arba pastebimi liekamieji </w:t>
            </w:r>
            <w:r>
              <w:rPr>
                <w:sz w:val="20"/>
                <w:lang w:eastAsia="lt-LT"/>
              </w:rPr>
              <w:t>reiškiniai po specifinio gydymo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IV. Kraujo ir kraujodaros organų ligos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284.0.8.9 2870-8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Aplastinė anemija Purpura ir kitos hemoraginės būklės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Dažnai recidyvuojantys arba sunkios formos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Psichikos sutrikimai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295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Šizofreninės psichozės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303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Lėtinis alkoholizmas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304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Toksikomanija, narkomanija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317-319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Protinis atsilikimas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Vidutinio sunkumo ir sunkus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VI. Jutimo organų ir nervų sistemos ligos.Uždegiminės CNS ligos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323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Encefalitas, mielitas ir encefalomielitas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123.1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Cisticerkozė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330.0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Paveldimos ir degeneracininės CNS ligos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331.0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Alcheimerio liga, Piko liga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333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Ekstrapiramidinės sistemos ligos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334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Fridreicho ataksija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335.1,2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Spinalinė raumenų atrofija, pirminė smegenėlių degeneracija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340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Išsėtinė sklerozė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Visų formų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341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demielinizuojančios CNS ligos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4.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347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Katapleksija ir narkolepsija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357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Uždegiminė ir toksinė neuropatija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Visų formų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359.0-9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Raumenų distrofijos ir kitų rūšių miopatijos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361.0-9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Šviežias </w:t>
            </w:r>
            <w:r>
              <w:rPr>
                <w:sz w:val="20"/>
                <w:lang w:eastAsia="lt-LT"/>
              </w:rPr>
              <w:t>tinklainės atšokimas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363.0-2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Aktyvūs chorioretinaliniai uždegimai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364.0-3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Rainelės ir krumplyno uždegimai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743.2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Įgimta glaukoma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Visų stadijų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369.0,1,2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Aklumas arba ryškus abiejų akių regos sumažėjimas (žemiau 0.05)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370,371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Ragenos opa, virusinis keratitas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Sunkių formų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377.3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Regos nervo neuritas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 keratomijos operacijos, po kiaurinės keratoplastikos, po kiaurinių akies sužeidimų, jei yra išlikęs regėjimas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VII. Kraujotakos sistemos ligos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390, 391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Reumatas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II-III laipsnis, aktyvi fazė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Infekcinis endokarditas (sepsis lenta)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422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Difūzinis miokarditas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427,3,4,5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Širdies ritmo sutrikimai (prieširdžių virpėjimas ir plazdėjimas, dažnos prieširdinės, nodalinės ir skilvelinės paroksizminės </w:t>
            </w:r>
            <w:r>
              <w:rPr>
                <w:sz w:val="20"/>
                <w:lang w:eastAsia="lt-LT"/>
              </w:rPr>
              <w:t>tachikardijos bei WPW sindromas su sunkiais paroksizminės tachikardijos epizodais)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394,395, 396,397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Įgytos širdies ydos: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5.1.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Mitralinio vožtuvo nepakankamumas: a) kai žymi kraujo regurgitacija pro pažeistą vožtuvą b) kai smarkiai padidėjęs </w:t>
            </w:r>
            <w:r>
              <w:rPr>
                <w:sz w:val="20"/>
                <w:lang w:eastAsia="lt-LT"/>
              </w:rPr>
              <w:t>kairysis prieširdis c) kai yra kairio skilvelio ar totalinio širdies nepakankamumo požymiai d) kai yra žymi hipertenzija mažajame kraujo apytakos rate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5.2.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Žymaus laipsnio mitralinė stenozė ar kombinuota mitralinė yda, vyraujant angos stenozei (kai ang</w:t>
            </w:r>
            <w:r>
              <w:rPr>
                <w:sz w:val="20"/>
                <w:lang w:eastAsia="lt-LT"/>
              </w:rPr>
              <w:t>os plotas mažesnis nei 1.2 cm2)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5.3.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Kombinuota mitralinė-aortinė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yda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5.4.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Triburio vožtuvo ydos: a) kai žymi regurgitacija pro pažeistą vožtuvą (III-IV ryškūs periferiniai požymiai, didelė arterinio kraujospūdžio pulsinė amplitudė, koronarinis </w:t>
            </w:r>
            <w:r>
              <w:rPr>
                <w:sz w:val="20"/>
                <w:lang w:eastAsia="lt-LT"/>
              </w:rPr>
              <w:t>nepakankamumas b) kai yra kairio skilvelio totalinio širdies nepakankamumo požymiai c) esant žymiai kairiojo skilvelio hipertenzijai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 CI) ar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5.5.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Aortos angos stenozė II st. (sprendžiant individualiai III-IV F C1)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ir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755, 746, 747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Įgimtos širdies </w:t>
            </w:r>
            <w:r>
              <w:rPr>
                <w:sz w:val="20"/>
                <w:lang w:eastAsia="lt-LT"/>
              </w:rPr>
              <w:t>ydos: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6.1.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Įgimtos širdies ydos esant cianozei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6.2.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Prieširdžių pertvaros defektas, skilvelių pertvaros defektas, atviras Botalo latakas (II-III st.)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6.3.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Plautinio kamieno stenozė (II-III st.)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6.4.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Aortos koarktacija (II-III st.)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420,421, 423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Konstrikciniai perikarditai (ūmūs, poūmiai ir lėtiniai)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401-405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Hipertoninė liga (II-III st.)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410-414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Išeminė širdies liga (II-III-IV FCL)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441-442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Aortos aneurizma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444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Arterijų embolija ir trombozė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415,417, 428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Plautinė širdis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747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įgimtos kraujotakos sistemos anomalijos, pirminė plautinė hipertenzija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15.1, 42.2, 43.3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Po mitralinės komisūrotomijos atsiradus restenozei, plaučių hipertenzijai, po protezavimo, a. pulmonalis embolijos. Po vožtuvų </w:t>
            </w:r>
            <w:r>
              <w:rPr>
                <w:sz w:val="20"/>
                <w:lang w:eastAsia="lt-LT"/>
              </w:rPr>
              <w:t>implantacijos, ilgą laiką vartojant antikoaguliantus (kumarino derivatus)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Kardiomiopatijos (dilatacinė, hipertrofinė, restrikcinė)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430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Subarachnoidinis kraujo išsiliejimas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431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Intracerebrinė hemoragija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428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Širdies veiklos </w:t>
            </w:r>
            <w:r>
              <w:rPr>
                <w:sz w:val="20"/>
                <w:lang w:eastAsia="lt-LT"/>
              </w:rPr>
              <w:t>nepakankamumas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III-IV laipsnis (pagal NYHA)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VIII. Kvėpavimo organų ligos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478,7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Gerklų stenozė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493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Bronchinė astma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Sunki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494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Bronchektazinė liga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Sunki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510-514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Plaučių ir pleuros ligos, esant plaučių-širdies nepakankamumui, vidaus </w:t>
            </w:r>
            <w:r>
              <w:rPr>
                <w:sz w:val="20"/>
                <w:lang w:eastAsia="lt-LT"/>
              </w:rPr>
              <w:t>organų amiloidozei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519.1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Trachėjos ir bronchų stenozė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IX. Virškinimo sistemos ligos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530.3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Stemplės susiaurėjimas ir stenozė bužuojant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Nepagydomi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542.8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Dirbtinė stemplė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531-534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Skrandžio ir dvylikapirštės žarnos opaligė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Su </w:t>
            </w:r>
            <w:r>
              <w:rPr>
                <w:sz w:val="20"/>
                <w:lang w:eastAsia="lt-LT"/>
              </w:rPr>
              <w:t>dekompensuota ir subkompensuota stenoze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550-553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Pilvo sienos išvarža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Didelė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555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Pirminiai lėtiniai neinfekciniai enteritai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Sunkūs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556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Opinis nespecifinis kolitas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Sunkus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564.2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Porezekciniai sindromai Dampingo sindromas, porezekcinė </w:t>
            </w:r>
            <w:r>
              <w:rPr>
                <w:sz w:val="20"/>
                <w:lang w:eastAsia="lt-LT"/>
              </w:rPr>
              <w:t>anemija, privedamosios kilpos sindromas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Sunkus ir vidutinio sunkumo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579.0-9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Malabsorbcijos sindromas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571.0-9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Lėtinės kepenų ligos ir cirozė Abiejų sutuoktinių Žilbero sindromas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Išskyrus nedidelę hepatosteatozę ir persistuojantį HBsAg(-) hepatitą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Ūmi geltonoji kepenų atrofija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Dubin-Johnson sindromas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Rotor sindromas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Vilsono liga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574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Tulžies pūslės akmenligė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Lėtinė, dažnai paūmėjanti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576.1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Lėtinis cholangitas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recidyvuojantis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577.1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Lėtinis </w:t>
            </w:r>
            <w:r>
              <w:rPr>
                <w:sz w:val="20"/>
                <w:lang w:eastAsia="lt-LT"/>
              </w:rPr>
              <w:t>pankreatitas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Sunkus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Esant vidutinio sunkumo formai sprendžiama individualiai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Mukoviscidozė (kasos fibrozė)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X. Urogenitalinės sistemos ligos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580,581, 582 583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Ūminis progresuojantis glomerulonefritas Lėtinis glomerulonefritas, kai sunkiai </w:t>
            </w:r>
            <w:r>
              <w:rPr>
                <w:sz w:val="20"/>
                <w:lang w:eastAsia="lt-LT"/>
              </w:rPr>
              <w:t>koreguojama arterine hipertenzija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584,585, 586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Bet kurios etiologijos sunkus ūminis inkstų nepakankamumas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I-II-III laipsniai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590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Ūminis ir lėtinis pielonefritas, kai kartu yra ir sunkus ūminis arba lėtinis inkstų nepakankamumas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I-II-III laipsnia</w:t>
            </w:r>
            <w:r>
              <w:rPr>
                <w:sz w:val="20"/>
                <w:lang w:eastAsia="lt-LT"/>
              </w:rPr>
              <w:t>i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4.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593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Inkstų amiloidozė, kai kartu yra lėtinis inkstų nepakankamumas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I-II-III laipsniai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XI. Nėštumo, gimdymo ir pogimdyminio periodo komplikacijos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642.4-9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Nėščiųjų toksikozė, nepagydoma stacionare Ūmi riebalinė hepatozė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643.1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Nesiliaujantis nėščiųjų vėmimas, nepagydomas stacionare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Chorionkarcinoma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XII. Odos ir poodinės ląstelienos ligos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694.4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Paprastoji pūslinė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XIII. Kaulų-raumenų sistemos ir jungiamojo audinio ligos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710.0.1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Difūzinės jungiamojo audinio </w:t>
            </w:r>
            <w:r>
              <w:rPr>
                <w:sz w:val="20"/>
                <w:lang w:eastAsia="lt-LT"/>
              </w:rPr>
              <w:t>ligos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714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Reumatoidinis artritas ir kitos uždegiminės sąnarių ligos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720.0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Ankilozinis spondiloartritas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732.0-9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Osteochondropatijos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XIV. Įgimtos anomalijos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740-759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Pakartotiniai vaikų gimimai su to paties vystymosi ydomis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Tik </w:t>
            </w:r>
            <w:r>
              <w:rPr>
                <w:sz w:val="20"/>
                <w:lang w:eastAsia="lt-LT"/>
              </w:rPr>
              <w:t>nustačius tipo vystymosi anomalijas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758.0-9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Anksčiau gimęs vaikas turėjo chromosominių anomalijų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 nustačius vaisiaus chromosominę anomaliją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Vieno iš sutuoktinių dominantiniu būdu paveldimos ligos su aukštu penetrantiškumo laipsniu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Jei nėra pr</w:t>
            </w:r>
            <w:r>
              <w:rPr>
                <w:sz w:val="20"/>
                <w:lang w:eastAsia="lt-LT"/>
              </w:rPr>
              <w:t>enatalinės diagnostikos būdų arba jei nustatyta vaisiaus patologija</w:t>
            </w: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XV. Paveldimos ligos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270-279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Sutuoktinių monogenetinių ligų heterozigotinis nešiojimas(amino rūgščių, angliavandenių, glikolipidų, glikoproteidų apykaitos sutrikimai)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Nustačius </w:t>
            </w:r>
            <w:r>
              <w:rPr>
                <w:sz w:val="20"/>
                <w:lang w:eastAsia="lt-LT"/>
              </w:rPr>
              <w:t>vaisiaus patologiją arba jei ligos paveldėjimo tikimybė ir nėra ištyrimo galimybės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286.0-9</w:t>
            </w: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Anksčiau gimę vaikai turėjo paveldimų anomalijų, susijusių su lytimi (hemofilija, Diušeno tipo miopatija ir kt.)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Jei vaisiaus vyriška lytis nustatyta </w:t>
            </w:r>
            <w:r>
              <w:rPr>
                <w:sz w:val="20"/>
                <w:lang w:eastAsia="lt-LT"/>
              </w:rPr>
              <w:t>prenatalinės diagnostikos metodais</w:t>
            </w:r>
          </w:p>
        </w:tc>
      </w:tr>
      <w:tr w:rsidR="00112537">
        <w:trPr>
          <w:divId w:val="76945665"/>
        </w:trPr>
        <w:tc>
          <w:tcPr>
            <w:tcW w:w="0" w:type="auto"/>
            <w:gridSpan w:val="5"/>
          </w:tcPr>
          <w:p w:rsidR="00112537" w:rsidRDefault="0089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XVI. Fiziologinės būsenos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 operacijos, pašalinus gyvybiškai svarbų organą(plautį ar jo dalį ir kt.)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Moters organizmo fiziologinis nebrandumas (13 m. ir jaunesnės)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Vėlyvas amžius reprodukcijai (49 m. </w:t>
            </w:r>
            <w:r>
              <w:rPr>
                <w:sz w:val="20"/>
                <w:lang w:eastAsia="lt-LT"/>
              </w:rPr>
              <w:t>ir vyresnės)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Radus chromosominę patologiją</w:t>
            </w:r>
          </w:p>
        </w:tc>
      </w:tr>
      <w:tr w:rsidR="00112537">
        <w:trPr>
          <w:divId w:val="76945665"/>
        </w:trPr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 jonizuojančio apšvitinimo</w:t>
            </w:r>
          </w:p>
        </w:tc>
        <w:tc>
          <w:tcPr>
            <w:tcW w:w="0" w:type="auto"/>
          </w:tcPr>
          <w:p w:rsidR="00112537" w:rsidRDefault="0011253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12537" w:rsidRDefault="00895C16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Dozės&gt;10 R</w:t>
            </w:r>
          </w:p>
        </w:tc>
      </w:tr>
    </w:tbl>
    <w:p w:rsidR="00112537" w:rsidRDefault="00895C16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:rsidR="00112537" w:rsidRDefault="00112537">
      <w:pPr>
        <w:rPr>
          <w:color w:val="000000"/>
        </w:rPr>
      </w:pPr>
    </w:p>
    <w:p w:rsidR="00112537" w:rsidRDefault="00895C16"/>
    <w:sectPr w:rsidR="00112537" w:rsidSect="00895C16"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37" w:rsidRDefault="00895C16">
      <w:r>
        <w:separator/>
      </w:r>
    </w:p>
  </w:endnote>
  <w:endnote w:type="continuationSeparator" w:id="0">
    <w:p w:rsidR="00112537" w:rsidRDefault="0089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37" w:rsidRDefault="0011253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37" w:rsidRDefault="0011253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37" w:rsidRDefault="0011253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37" w:rsidRDefault="00895C16">
      <w:r>
        <w:separator/>
      </w:r>
    </w:p>
  </w:footnote>
  <w:footnote w:type="continuationSeparator" w:id="0">
    <w:p w:rsidR="00112537" w:rsidRDefault="0089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37" w:rsidRDefault="00895C1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112537" w:rsidRDefault="0011253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948285"/>
      <w:docPartObj>
        <w:docPartGallery w:val="Page Numbers (Top of Page)"/>
        <w:docPartUnique/>
      </w:docPartObj>
    </w:sdtPr>
    <w:sdtContent>
      <w:p w:rsidR="00895C16" w:rsidRDefault="00895C1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12537" w:rsidRDefault="0011253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37" w:rsidRDefault="0011253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2E"/>
    <w:rsid w:val="00112537"/>
    <w:rsid w:val="00895C16"/>
    <w:rsid w:val="009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A073B7"/>
  <w15:docId w15:val="{E0AD07BA-E000-4E2D-A229-54FC5F54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95C1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95C16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10179</Words>
  <Characters>5803</Characters>
  <Application>Microsoft Office Word</Application>
  <DocSecurity>0</DocSecurity>
  <Lines>48</Lines>
  <Paragraphs>31</Paragraphs>
  <ScaleCrop>false</ScaleCrop>
  <Company/>
  <LinksUpToDate>false</LinksUpToDate>
  <CharactersWithSpaces>15951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2015-08-06T01:02:00Z</dcterms:created>
  <dc:creator>Tadeuš Buivid</dc:creator>
  <lastModifiedBy>TAMALIŪNIENĖ Vilija</lastModifiedBy>
  <dcterms:modified xsi:type="dcterms:W3CDTF">2022-08-16T11:02:00Z</dcterms:modified>
  <revision>3</revision>
</coreProperties>
</file>