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AAFD" w14:textId="24AC3FFC" w:rsidR="00694D6E" w:rsidRDefault="00694D6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7D6AAFE" w14:textId="77777777" w:rsidR="00694D6E" w:rsidRDefault="00E77F0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7D6ABBE" wp14:editId="57D6ABB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AAFF" w14:textId="77777777" w:rsidR="00694D6E" w:rsidRDefault="00694D6E">
      <w:pPr>
        <w:jc w:val="center"/>
        <w:rPr>
          <w:caps/>
          <w:sz w:val="12"/>
          <w:szCs w:val="12"/>
        </w:rPr>
      </w:pPr>
    </w:p>
    <w:p w14:paraId="57D6AB00" w14:textId="77777777" w:rsidR="00694D6E" w:rsidRDefault="00E77F0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7D6AB01" w14:textId="77777777" w:rsidR="00694D6E" w:rsidRDefault="00E77F08">
      <w:pPr>
        <w:jc w:val="center"/>
        <w:rPr>
          <w:b/>
          <w:caps/>
        </w:rPr>
      </w:pPr>
      <w:r>
        <w:rPr>
          <w:b/>
          <w:caps/>
        </w:rPr>
        <w:t>MOKESČIO UŽ VALSTYBINIUS GAMTOS IŠTEKLIUS ĮSTATYMO NR. I-1163 6 STRAIPSNIO IR 1, 2 PRIEDŲ PAKEITIMO</w:t>
      </w:r>
    </w:p>
    <w:p w14:paraId="57D6AB02" w14:textId="77777777" w:rsidR="00694D6E" w:rsidRDefault="00E77F08">
      <w:pPr>
        <w:jc w:val="center"/>
        <w:rPr>
          <w:caps/>
        </w:rPr>
      </w:pPr>
      <w:r>
        <w:rPr>
          <w:b/>
          <w:caps/>
        </w:rPr>
        <w:t>ĮSTATYMAS</w:t>
      </w:r>
    </w:p>
    <w:p w14:paraId="57D6AB03" w14:textId="77777777" w:rsidR="00694D6E" w:rsidRDefault="00694D6E">
      <w:pPr>
        <w:jc w:val="center"/>
        <w:rPr>
          <w:b/>
          <w:caps/>
        </w:rPr>
      </w:pPr>
    </w:p>
    <w:p w14:paraId="57D6AB04" w14:textId="77777777" w:rsidR="00694D6E" w:rsidRDefault="00E77F08">
      <w:pPr>
        <w:jc w:val="center"/>
        <w:rPr>
          <w:sz w:val="22"/>
        </w:rPr>
      </w:pPr>
      <w:r>
        <w:rPr>
          <w:sz w:val="22"/>
        </w:rPr>
        <w:t>2015 m. gruodžio 8 d. Nr. XII-2148</w:t>
      </w:r>
    </w:p>
    <w:p w14:paraId="57D6AB05" w14:textId="77777777" w:rsidR="00694D6E" w:rsidRDefault="00E77F08">
      <w:pPr>
        <w:jc w:val="center"/>
        <w:rPr>
          <w:sz w:val="22"/>
        </w:rPr>
      </w:pPr>
      <w:r>
        <w:rPr>
          <w:sz w:val="22"/>
        </w:rPr>
        <w:t>Vilnius</w:t>
      </w:r>
    </w:p>
    <w:p w14:paraId="57D6AB06" w14:textId="77777777" w:rsidR="00694D6E" w:rsidRDefault="00694D6E">
      <w:pPr>
        <w:jc w:val="center"/>
        <w:rPr>
          <w:sz w:val="22"/>
        </w:rPr>
      </w:pPr>
    </w:p>
    <w:p w14:paraId="57D6AB09" w14:textId="77777777" w:rsidR="00694D6E" w:rsidRDefault="00694D6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7D6AB0A" w14:textId="77777777" w:rsidR="00694D6E" w:rsidRDefault="00E77F08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6 straipsnio pakeitimas</w:t>
      </w:r>
    </w:p>
    <w:p w14:paraId="57D6AB0B" w14:textId="77777777" w:rsidR="00694D6E" w:rsidRDefault="00E77F0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6 straipsnio 3 dalį ir ją išdėstyti taip:</w:t>
      </w:r>
    </w:p>
    <w:p w14:paraId="57D6AB0C" w14:textId="77777777" w:rsidR="00694D6E" w:rsidRDefault="00E77F0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. Šio įstatymo 1 ir 2 prieduose nustatyti tarifai mokesčio mokėtojo indeksuojami pagal Lietuvos </w:t>
      </w:r>
      <w:r>
        <w:rPr>
          <w:szCs w:val="24"/>
        </w:rPr>
        <w:t>statistikos departamento apskaičiuojamą ir Oficialiosios statistikos portale skelbiamą mokestinio ketvirčio vartotojų kainų indeksą. Vartotojų kainų indeksas nustatomas palyginus mokestinio ketvirčio antrojo mėnesio kainas su 2014 metų gruodžio mėnesio kai</w:t>
      </w:r>
      <w:r>
        <w:rPr>
          <w:szCs w:val="24"/>
        </w:rPr>
        <w:t>nomis.“</w:t>
      </w:r>
    </w:p>
    <w:p w14:paraId="57D6AB0D" w14:textId="77777777" w:rsidR="00694D6E" w:rsidRDefault="00E77F08">
      <w:pPr>
        <w:spacing w:line="240" w:lineRule="atLeast"/>
        <w:ind w:firstLine="720"/>
        <w:jc w:val="both"/>
        <w:rPr>
          <w:szCs w:val="24"/>
        </w:rPr>
      </w:pPr>
    </w:p>
    <w:p w14:paraId="57D6AB0E" w14:textId="0E6E4360" w:rsidR="00694D6E" w:rsidRDefault="00E77F08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1 priedo pakeitimas</w:t>
      </w:r>
    </w:p>
    <w:p w14:paraId="57D6AB0F" w14:textId="4FA9EF23" w:rsidR="00694D6E" w:rsidRDefault="00E77F0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Įstatymo 1 priedą ir jį išdėstyti taip:</w:t>
      </w:r>
    </w:p>
    <w:p w14:paraId="57D6AB10" w14:textId="6560872F" w:rsidR="00694D6E" w:rsidRDefault="00694D6E">
      <w:pPr>
        <w:spacing w:line="240" w:lineRule="atLeast"/>
        <w:ind w:firstLine="720"/>
        <w:jc w:val="both"/>
        <w:rPr>
          <w:szCs w:val="24"/>
        </w:rPr>
      </w:pPr>
    </w:p>
    <w:p w14:paraId="43F870A6" w14:textId="7C881CC7" w:rsidR="00E77F08" w:rsidRDefault="00E77F08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„Lietuvos Respublikos</w:t>
      </w:r>
    </w:p>
    <w:p w14:paraId="57D6AB12" w14:textId="2D065E28" w:rsidR="00694D6E" w:rsidRDefault="00E77F08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mokesčio už valstybinius </w:t>
      </w:r>
    </w:p>
    <w:p w14:paraId="57D6AB13" w14:textId="77777777" w:rsidR="00694D6E" w:rsidRDefault="00E77F08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gamtos išteklius įstatymo</w:t>
      </w:r>
    </w:p>
    <w:p w14:paraId="57D6AB14" w14:textId="77777777" w:rsidR="00694D6E" w:rsidRDefault="00E77F08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priedas </w:t>
      </w:r>
    </w:p>
    <w:p w14:paraId="57D6AB15" w14:textId="77777777" w:rsidR="00694D6E" w:rsidRDefault="00694D6E">
      <w:pPr>
        <w:spacing w:line="240" w:lineRule="atLeast"/>
        <w:ind w:firstLine="720"/>
        <w:jc w:val="both"/>
        <w:rPr>
          <w:bCs/>
          <w:szCs w:val="24"/>
          <w:lang w:eastAsia="lt-LT"/>
        </w:rPr>
      </w:pPr>
    </w:p>
    <w:p w14:paraId="57D6AB16" w14:textId="77777777" w:rsidR="00694D6E" w:rsidRDefault="00E77F08">
      <w:pPr>
        <w:spacing w:line="360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MOKEČIO UŽ NAUDINGĄSIAS IŠKASENAS TARIFAI</w:t>
      </w:r>
    </w:p>
    <w:p w14:paraId="57D6AB17" w14:textId="77777777" w:rsidR="00694D6E" w:rsidRDefault="00694D6E">
      <w:pPr>
        <w:spacing w:line="240" w:lineRule="atLeast"/>
        <w:ind w:firstLine="720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985"/>
      </w:tblGrid>
      <w:tr w:rsidR="00694D6E" w14:paraId="57D6AB1C" w14:textId="77777777">
        <w:trPr>
          <w:cantSplit/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AB18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AB19" w14:textId="77777777" w:rsidR="00694D6E" w:rsidRDefault="00E77F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Ištekliai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AB1A" w14:textId="77777777" w:rsidR="00694D6E" w:rsidRDefault="00E77F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Matavimo vnt.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AB1B" w14:textId="77777777" w:rsidR="00694D6E" w:rsidRDefault="00E77F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Tarifas, Eur</w:t>
            </w:r>
          </w:p>
        </w:tc>
      </w:tr>
      <w:tr w:rsidR="00694D6E" w14:paraId="57D6AB21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1D" w14:textId="77777777" w:rsidR="00694D6E" w:rsidRDefault="00E77F08">
            <w:pPr>
              <w:ind w:firstLine="3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1E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Anhidritas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1F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0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1,99</w:t>
            </w:r>
          </w:p>
        </w:tc>
      </w:tr>
      <w:tr w:rsidR="00694D6E" w14:paraId="57D6AB26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2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3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Dolomitas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4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5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  <w:tr w:rsidR="00694D6E" w14:paraId="57D6AB2B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7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8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Durpės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9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A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0,80</w:t>
            </w:r>
          </w:p>
        </w:tc>
      </w:tr>
      <w:tr w:rsidR="00694D6E" w14:paraId="57D6AB34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C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2D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Gintaras:</w:t>
            </w:r>
          </w:p>
          <w:p w14:paraId="57D6AB2E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iki 40 mm</w:t>
            </w:r>
          </w:p>
          <w:p w14:paraId="57D6AB2F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daugiau kaip 40 mm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0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1" w14:textId="77777777" w:rsidR="00694D6E" w:rsidRDefault="00694D6E">
            <w:pPr>
              <w:ind w:firstLine="567"/>
              <w:jc w:val="center"/>
              <w:rPr>
                <w:szCs w:val="24"/>
              </w:rPr>
            </w:pPr>
          </w:p>
          <w:p w14:paraId="57D6AB32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  <w:p w14:paraId="57D6AB33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  <w:tr w:rsidR="00694D6E" w14:paraId="57D6AB39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5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6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Klintis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7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8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0,84</w:t>
            </w:r>
          </w:p>
        </w:tc>
      </w:tr>
      <w:tr w:rsidR="00694D6E" w14:paraId="57D6AB3E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A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B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Kreidos mergelis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C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D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0,89</w:t>
            </w:r>
          </w:p>
        </w:tc>
      </w:tr>
      <w:tr w:rsidR="00694D6E" w14:paraId="57D6AB49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3F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40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Molis:</w:t>
            </w:r>
          </w:p>
          <w:p w14:paraId="57D6AB41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devono periodo</w:t>
            </w:r>
          </w:p>
          <w:p w14:paraId="57D6AB42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triaso periodo</w:t>
            </w:r>
          </w:p>
          <w:p w14:paraId="57D6AB43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kitas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44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45" w14:textId="77777777" w:rsidR="00694D6E" w:rsidRDefault="00694D6E">
            <w:pPr>
              <w:ind w:firstLine="567"/>
              <w:jc w:val="center"/>
              <w:rPr>
                <w:szCs w:val="24"/>
              </w:rPr>
            </w:pPr>
          </w:p>
          <w:p w14:paraId="57D6AB46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0,86</w:t>
            </w:r>
          </w:p>
          <w:p w14:paraId="57D6AB47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0,84</w:t>
            </w:r>
          </w:p>
          <w:p w14:paraId="57D6AB48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0,51</w:t>
            </w:r>
          </w:p>
        </w:tc>
      </w:tr>
      <w:tr w:rsidR="00694D6E" w14:paraId="57D6AB4E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4A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4B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Opoka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4C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4D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0,71</w:t>
            </w:r>
          </w:p>
        </w:tc>
      </w:tr>
      <w:tr w:rsidR="00694D6E" w14:paraId="57D6AB53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4F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0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Sapropelis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1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2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0,34</w:t>
            </w:r>
          </w:p>
        </w:tc>
      </w:tr>
      <w:tr w:rsidR="00694D6E" w14:paraId="57D6AB58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4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5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Smėlis moliui liesinti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6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7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0,48</w:t>
            </w:r>
          </w:p>
        </w:tc>
      </w:tr>
      <w:tr w:rsidR="00694D6E" w14:paraId="57D6AB5D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9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A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Smėlis stiklui gaminti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B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C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1,59</w:t>
            </w:r>
          </w:p>
        </w:tc>
      </w:tr>
      <w:tr w:rsidR="00694D6E" w14:paraId="57D6AB62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E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5F" w14:textId="77777777" w:rsidR="00694D6E" w:rsidRDefault="00E77F08">
            <w:pPr>
              <w:rPr>
                <w:szCs w:val="24"/>
              </w:rPr>
            </w:pPr>
            <w:r>
              <w:rPr>
                <w:szCs w:val="24"/>
              </w:rPr>
              <w:t>Smėlis silikatiniams dirbiniams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0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1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0,44</w:t>
            </w:r>
          </w:p>
        </w:tc>
      </w:tr>
      <w:tr w:rsidR="00694D6E" w14:paraId="57D6AB67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3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4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Kitas smėlis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5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6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0,38</w:t>
            </w:r>
          </w:p>
        </w:tc>
      </w:tr>
      <w:tr w:rsidR="00694D6E" w14:paraId="57D6AB6C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8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9" w14:textId="77777777" w:rsidR="00694D6E" w:rsidRDefault="00E77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Žvyras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A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6B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0,44“</w:t>
            </w:r>
          </w:p>
        </w:tc>
      </w:tr>
    </w:tbl>
    <w:p w14:paraId="57D6AB6D" w14:textId="3CF06722" w:rsidR="00694D6E" w:rsidRDefault="00E77F08">
      <w:pPr>
        <w:spacing w:line="360" w:lineRule="auto"/>
        <w:ind w:firstLine="720"/>
        <w:jc w:val="both"/>
        <w:rPr>
          <w:szCs w:val="24"/>
        </w:rPr>
      </w:pPr>
    </w:p>
    <w:p w14:paraId="57D6AB6E" w14:textId="520129F5" w:rsidR="00694D6E" w:rsidRDefault="00E77F08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</w:t>
      </w:r>
      <w:r>
        <w:rPr>
          <w:b/>
          <w:szCs w:val="24"/>
        </w:rPr>
        <w:t xml:space="preserve"> 2 priedo pakeitimas</w:t>
      </w:r>
    </w:p>
    <w:p w14:paraId="57D6AB6F" w14:textId="3B26ABF5" w:rsidR="00694D6E" w:rsidRDefault="00E77F0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Įstatymo 2 priedą ir jį išdėstyti taip:</w:t>
      </w:r>
    </w:p>
    <w:bookmarkStart w:id="0" w:name="_GoBack" w:displacedByCustomXml="prev"/>
    <w:p w14:paraId="45DAB7A2" w14:textId="3E5C2BDB" w:rsidR="00E77F08" w:rsidRDefault="00E77F08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„Lietuvos Respublikos</w:t>
      </w:r>
    </w:p>
    <w:p w14:paraId="57D6AB71" w14:textId="72C39505" w:rsidR="00694D6E" w:rsidRDefault="00E77F08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mokesčio už valstybinius </w:t>
      </w:r>
    </w:p>
    <w:p w14:paraId="57D6AB72" w14:textId="77777777" w:rsidR="00694D6E" w:rsidRDefault="00E77F08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gamtos išteklius įstatymo</w:t>
      </w:r>
    </w:p>
    <w:p w14:paraId="57D6AB73" w14:textId="77777777" w:rsidR="00694D6E" w:rsidRDefault="00E77F08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 </w:t>
      </w:r>
    </w:p>
    <w:p w14:paraId="57D6AB74" w14:textId="77777777" w:rsidR="00694D6E" w:rsidRDefault="00694D6E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57D6AB75" w14:textId="77777777" w:rsidR="00694D6E" w:rsidRDefault="00E77F08">
      <w:pPr>
        <w:spacing w:line="360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MOKESČIO UŽ VANDENĮ IR STATYBINĮ GRUNTĄ TARIFAI</w:t>
      </w:r>
    </w:p>
    <w:p w14:paraId="57D6AB76" w14:textId="77777777" w:rsidR="00694D6E" w:rsidRDefault="00694D6E">
      <w:pPr>
        <w:ind w:firstLine="567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2126"/>
      </w:tblGrid>
      <w:tr w:rsidR="00694D6E" w14:paraId="57D6AB7B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AB77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AB78" w14:textId="77777777" w:rsidR="00694D6E" w:rsidRDefault="00E77F08">
            <w:pPr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Ištekliai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AB79" w14:textId="77777777" w:rsidR="00694D6E" w:rsidRDefault="00E77F08">
            <w:pPr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Matavimo vnt.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AB7A" w14:textId="77777777" w:rsidR="00694D6E" w:rsidRDefault="00E77F08">
            <w:pPr>
              <w:ind w:firstLine="56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Tarifas, Eur</w:t>
            </w:r>
          </w:p>
        </w:tc>
      </w:tr>
      <w:tr w:rsidR="00694D6E" w14:paraId="57D6AB88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7C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7D" w14:textId="77777777" w:rsidR="00694D6E" w:rsidRDefault="00E77F08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Požeminis vanduo, išskyrus mineralinį vandenį:</w:t>
            </w:r>
          </w:p>
          <w:p w14:paraId="57D6AB7E" w14:textId="77777777" w:rsidR="00694D6E" w:rsidRDefault="00E77F08">
            <w:pPr>
              <w:ind w:left="394" w:hanging="360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  <w:t>vandens tiekėjo tiekiamas namų ūkio reikmėms ir patalpų šildymui</w:t>
            </w:r>
          </w:p>
          <w:p w14:paraId="57D6AB7F" w14:textId="77777777" w:rsidR="00694D6E" w:rsidRDefault="00E77F08">
            <w:pPr>
              <w:ind w:left="394" w:hanging="360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  <w:t xml:space="preserve"> juridinių asmenų naudojamas komerciniams tikslams, supilstytas į tarą</w:t>
            </w:r>
          </w:p>
          <w:p w14:paraId="57D6AB80" w14:textId="77777777" w:rsidR="00694D6E" w:rsidRDefault="00E77F08">
            <w:pPr>
              <w:ind w:left="394" w:hanging="360"/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 xml:space="preserve">kitas (a ir b punktuose nenurodytas) požeminis </w:t>
            </w:r>
            <w:r>
              <w:rPr>
                <w:szCs w:val="24"/>
              </w:rPr>
              <w:t>vanduo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81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82" w14:textId="77777777" w:rsidR="00694D6E" w:rsidRDefault="00694D6E">
            <w:pPr>
              <w:ind w:firstLine="567"/>
              <w:jc w:val="center"/>
              <w:rPr>
                <w:szCs w:val="24"/>
              </w:rPr>
            </w:pPr>
          </w:p>
          <w:p w14:paraId="57D6AB83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  <w:p w14:paraId="57D6AB84" w14:textId="77777777" w:rsidR="00694D6E" w:rsidRDefault="00694D6E">
            <w:pPr>
              <w:ind w:firstLine="567"/>
              <w:jc w:val="center"/>
              <w:rPr>
                <w:szCs w:val="24"/>
              </w:rPr>
            </w:pPr>
          </w:p>
          <w:p w14:paraId="57D6AB85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4,29</w:t>
            </w:r>
          </w:p>
          <w:p w14:paraId="57D6AB86" w14:textId="77777777" w:rsidR="00694D6E" w:rsidRDefault="00694D6E">
            <w:pPr>
              <w:ind w:firstLine="567"/>
              <w:jc w:val="center"/>
              <w:rPr>
                <w:szCs w:val="24"/>
              </w:rPr>
            </w:pPr>
          </w:p>
          <w:p w14:paraId="57D6AB87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</w:tr>
      <w:tr w:rsidR="00694D6E" w14:paraId="57D6AB8D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89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8A" w14:textId="77777777" w:rsidR="00694D6E" w:rsidRDefault="00E77F08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Mineralinis vanduo, išskyrus mineralinį vandenį, naudojamą gydymo įstaigose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8B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8C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4,29</w:t>
            </w:r>
          </w:p>
        </w:tc>
      </w:tr>
      <w:tr w:rsidR="00694D6E" w14:paraId="57D6AB92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8E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8F" w14:textId="77777777" w:rsidR="00694D6E" w:rsidRDefault="00E77F08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Mineralinis vanduo, naudojamas gydymo įstaigose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0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1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2,14</w:t>
            </w:r>
          </w:p>
        </w:tc>
      </w:tr>
      <w:tr w:rsidR="00694D6E" w14:paraId="57D6AB97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3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4" w14:textId="77777777" w:rsidR="00694D6E" w:rsidRDefault="00E77F08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Paviršinis vanduo pramonei ir žemės ūkiui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5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6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</w:t>
            </w:r>
          </w:p>
        </w:tc>
      </w:tr>
      <w:tr w:rsidR="00694D6E" w14:paraId="57D6AB9C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8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9" w14:textId="77777777" w:rsidR="00694D6E" w:rsidRDefault="00E77F08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Paviršinis vanduo </w:t>
            </w:r>
            <w:r>
              <w:rPr>
                <w:szCs w:val="24"/>
              </w:rPr>
              <w:t>kondensacinėms šiluminėms elektrinėms aušinti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A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B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0,0003</w:t>
            </w:r>
          </w:p>
        </w:tc>
      </w:tr>
      <w:tr w:rsidR="00694D6E" w14:paraId="57D6ABA1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D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E" w14:textId="77777777" w:rsidR="00694D6E" w:rsidRDefault="00E77F08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Paviršinis vanduo žuvininkystei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9F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0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0,0001</w:t>
            </w:r>
          </w:p>
        </w:tc>
      </w:tr>
      <w:tr w:rsidR="00694D6E" w14:paraId="57D6ABA6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2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3" w14:textId="77777777" w:rsidR="00694D6E" w:rsidRDefault="00E77F08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Paviršinis vanduo hidroenergetikai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4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5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0,00001</w:t>
            </w:r>
          </w:p>
        </w:tc>
      </w:tr>
      <w:tr w:rsidR="00694D6E" w14:paraId="57D6ABAB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7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8" w14:textId="77777777" w:rsidR="00694D6E" w:rsidRDefault="00E77F08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Paviršinis vanduo atominei elektrinei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9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A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0,0004</w:t>
            </w:r>
          </w:p>
        </w:tc>
      </w:tr>
      <w:tr w:rsidR="00694D6E" w14:paraId="57D6ABB0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C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D" w14:textId="77777777" w:rsidR="00694D6E" w:rsidRDefault="00E77F08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Paviršinis vanduo suskystintų gamtinių dujų </w:t>
            </w:r>
            <w:r>
              <w:rPr>
                <w:szCs w:val="24"/>
              </w:rPr>
              <w:t>importo terminalui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E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AF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0,00003</w:t>
            </w:r>
          </w:p>
        </w:tc>
      </w:tr>
      <w:bookmarkEnd w:id="0"/>
      <w:tr w:rsidR="00694D6E" w14:paraId="57D6ABB5" w14:textId="7777777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B1" w14:textId="77777777" w:rsidR="00694D6E" w:rsidRDefault="00E77F0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B2" w14:textId="77777777" w:rsidR="00694D6E" w:rsidRDefault="00E77F08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Statybinis gruntas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B3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BB4" w14:textId="77777777" w:rsidR="00694D6E" w:rsidRDefault="00E77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0,26“</w:t>
            </w:r>
          </w:p>
        </w:tc>
      </w:tr>
    </w:tbl>
    <w:p w14:paraId="57D6ABB6" w14:textId="66881EDD" w:rsidR="00694D6E" w:rsidRDefault="00E77F08">
      <w:pPr>
        <w:ind w:firstLine="567"/>
        <w:jc w:val="both"/>
        <w:rPr>
          <w:szCs w:val="24"/>
        </w:rPr>
      </w:pPr>
    </w:p>
    <w:p w14:paraId="57D6ABB7" w14:textId="12DAB3DB" w:rsidR="00694D6E" w:rsidRDefault="00E77F08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 w14:paraId="57D6ABB8" w14:textId="77777777" w:rsidR="00694D6E" w:rsidRDefault="00E77F0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2016 m. sausio 1 d.</w:t>
      </w:r>
    </w:p>
    <w:p w14:paraId="57D6ABB9" w14:textId="0A019E54" w:rsidR="00694D6E" w:rsidRDefault="00E77F08">
      <w:pPr>
        <w:spacing w:line="360" w:lineRule="auto"/>
        <w:ind w:firstLine="720"/>
        <w:jc w:val="both"/>
        <w:rPr>
          <w:szCs w:val="24"/>
        </w:rPr>
      </w:pPr>
    </w:p>
    <w:p w14:paraId="57D6ABBA" w14:textId="77777777" w:rsidR="00694D6E" w:rsidRDefault="00E77F0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7D6ABBC" w14:textId="77777777" w:rsidR="00694D6E" w:rsidRDefault="00694D6E">
      <w:pPr>
        <w:spacing w:line="360" w:lineRule="auto"/>
        <w:rPr>
          <w:szCs w:val="24"/>
        </w:rPr>
      </w:pPr>
    </w:p>
    <w:p w14:paraId="57D6ABBD" w14:textId="31F3D39E" w:rsidR="00694D6E" w:rsidRDefault="00E77F08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694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6ABC2" w14:textId="77777777" w:rsidR="00694D6E" w:rsidRDefault="00E77F0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7D6ABC3" w14:textId="77777777" w:rsidR="00694D6E" w:rsidRDefault="00E77F0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ABC8" w14:textId="77777777" w:rsidR="00694D6E" w:rsidRDefault="00E77F0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7D6ABC9" w14:textId="77777777" w:rsidR="00694D6E" w:rsidRDefault="00694D6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ABCA" w14:textId="77777777" w:rsidR="00694D6E" w:rsidRDefault="00694D6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ABCC" w14:textId="77777777" w:rsidR="00694D6E" w:rsidRDefault="00694D6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6ABC0" w14:textId="77777777" w:rsidR="00694D6E" w:rsidRDefault="00E77F0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7D6ABC1" w14:textId="77777777" w:rsidR="00694D6E" w:rsidRDefault="00E77F0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ABC4" w14:textId="77777777" w:rsidR="00694D6E" w:rsidRDefault="00E77F0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7D6ABC5" w14:textId="77777777" w:rsidR="00694D6E" w:rsidRDefault="00694D6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ABC6" w14:textId="77777777" w:rsidR="00694D6E" w:rsidRDefault="00E77F0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7D6ABC7" w14:textId="77777777" w:rsidR="00694D6E" w:rsidRDefault="00694D6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ABCB" w14:textId="77777777" w:rsidR="00694D6E" w:rsidRDefault="00694D6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43"/>
    <w:rsid w:val="00694D6E"/>
    <w:rsid w:val="00CC0C43"/>
    <w:rsid w:val="00E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6A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7F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7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93F6E06-A6F2-4CCE-884C-501F0DFB3BF2}"/>
      </w:docPartPr>
      <w:docPartBody>
        <w:p w14:paraId="2D839FB9" w14:textId="62346307" w:rsidR="00000000" w:rsidRDefault="00815BA4">
          <w:r w:rsidRPr="00920653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A4"/>
    <w:rsid w:val="008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15B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15B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2664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2015-12-10T14:58:00Z</dcterms:created>
  <dc:creator>MANIUŠKIENĖ Violeta</dc:creator>
  <lastModifiedBy>GUMBYTĖ Danguolė</lastModifiedBy>
  <lastPrinted>2015-12-08T14:46:00Z</lastPrinted>
  <dcterms:modified xsi:type="dcterms:W3CDTF">2015-12-10T15:12:00Z</dcterms:modified>
  <revision>3</revision>
</coreProperties>
</file>