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E16A" w14:textId="77777777" w:rsidR="00B04FCD" w:rsidRPr="001747D7" w:rsidRDefault="001747D7">
      <w:pPr>
        <w:suppressAutoHyphens/>
        <w:jc w:val="center"/>
      </w:pPr>
      <w:r w:rsidRPr="001747D7">
        <w:rPr>
          <w:rFonts w:ascii="Tahoma" w:hAnsi="Tahoma"/>
          <w:b/>
          <w:noProof/>
          <w:spacing w:val="10"/>
          <w:sz w:val="20"/>
          <w:lang w:eastAsia="lt-LT"/>
        </w:rPr>
        <w:drawing>
          <wp:inline distT="0" distB="0" distL="0" distR="0" wp14:anchorId="555DE259" wp14:editId="555DE25A">
            <wp:extent cx="518160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DE16B" w14:textId="77777777" w:rsidR="00B04FCD" w:rsidRPr="001747D7" w:rsidRDefault="001747D7">
      <w:pPr>
        <w:suppressAutoHyphens/>
        <w:jc w:val="center"/>
        <w:rPr>
          <w:b/>
          <w:bCs/>
          <w:lang w:eastAsia="lt-LT"/>
        </w:rPr>
      </w:pPr>
      <w:r w:rsidRPr="001747D7">
        <w:rPr>
          <w:b/>
          <w:bCs/>
          <w:lang w:eastAsia="lt-LT"/>
        </w:rPr>
        <w:t>LIETUVOS RESPUBLIKOS APLINKOS MINISTRAS</w:t>
      </w:r>
    </w:p>
    <w:p w14:paraId="555DE16D" w14:textId="77777777" w:rsidR="00B04FCD" w:rsidRPr="001747D7" w:rsidRDefault="00B04FCD">
      <w:pPr>
        <w:suppressAutoHyphens/>
        <w:jc w:val="center"/>
        <w:rPr>
          <w:b/>
          <w:bCs/>
          <w:lang w:eastAsia="lt-LT"/>
        </w:rPr>
      </w:pPr>
    </w:p>
    <w:p w14:paraId="555DE16E" w14:textId="77777777" w:rsidR="00B04FCD" w:rsidRPr="001747D7" w:rsidRDefault="001747D7">
      <w:pPr>
        <w:suppressAutoHyphens/>
        <w:jc w:val="center"/>
        <w:rPr>
          <w:b/>
          <w:bCs/>
          <w:lang w:eastAsia="lt-LT"/>
        </w:rPr>
      </w:pPr>
      <w:r w:rsidRPr="001747D7">
        <w:rPr>
          <w:b/>
          <w:bCs/>
          <w:lang w:eastAsia="lt-LT"/>
        </w:rPr>
        <w:t>ĮSAKYMAS</w:t>
      </w:r>
    </w:p>
    <w:p w14:paraId="555DE16F" w14:textId="77777777" w:rsidR="00B04FCD" w:rsidRPr="001747D7" w:rsidRDefault="001747D7">
      <w:pPr>
        <w:suppressAutoHyphens/>
        <w:jc w:val="center"/>
        <w:rPr>
          <w:b/>
          <w:lang w:eastAsia="lt-LT"/>
        </w:rPr>
      </w:pPr>
      <w:r w:rsidRPr="001747D7">
        <w:rPr>
          <w:b/>
          <w:lang w:eastAsia="lt-LT"/>
        </w:rPr>
        <w:t>DĖL DAUGIABUČIŲ GYVENAMŲJŲ NAMŲ TECHNINĖS PRIEŽIŪROS TARIFO APSKAIČIAVIMO METODIKOS PATVIRTINIMO</w:t>
      </w:r>
    </w:p>
    <w:p w14:paraId="555DE170" w14:textId="77777777" w:rsidR="00B04FCD" w:rsidRPr="001747D7" w:rsidRDefault="00B04FCD">
      <w:pPr>
        <w:suppressAutoHyphens/>
        <w:jc w:val="center"/>
        <w:rPr>
          <w:b/>
          <w:lang w:eastAsia="lt-LT"/>
        </w:rPr>
      </w:pPr>
    </w:p>
    <w:p w14:paraId="555DE171" w14:textId="77777777" w:rsidR="00B04FCD" w:rsidRPr="001747D7" w:rsidRDefault="00B04FCD">
      <w:pPr>
        <w:suppressAutoHyphens/>
        <w:jc w:val="center"/>
        <w:rPr>
          <w:b/>
          <w:lang w:eastAsia="lt-LT"/>
        </w:rPr>
      </w:pPr>
    </w:p>
    <w:p w14:paraId="555DE172" w14:textId="77777777" w:rsidR="00B04FCD" w:rsidRPr="001747D7" w:rsidRDefault="001747D7">
      <w:pPr>
        <w:suppressAutoHyphens/>
        <w:jc w:val="center"/>
        <w:rPr>
          <w:lang w:eastAsia="lt-LT"/>
        </w:rPr>
      </w:pPr>
      <w:r w:rsidRPr="001747D7">
        <w:rPr>
          <w:lang w:eastAsia="lt-LT"/>
        </w:rPr>
        <w:t>2018 m. gegužės 3 d. Nr. D1-354</w:t>
      </w:r>
    </w:p>
    <w:p w14:paraId="555DE173" w14:textId="77777777" w:rsidR="00B04FCD" w:rsidRPr="001747D7" w:rsidRDefault="001747D7">
      <w:pPr>
        <w:suppressAutoHyphens/>
        <w:jc w:val="center"/>
        <w:rPr>
          <w:lang w:eastAsia="lt-LT"/>
        </w:rPr>
      </w:pPr>
      <w:r w:rsidRPr="001747D7">
        <w:rPr>
          <w:lang w:eastAsia="lt-LT"/>
        </w:rPr>
        <w:t>Vilnius</w:t>
      </w:r>
      <w:r w:rsidRPr="001747D7">
        <w:rPr>
          <w:lang w:eastAsia="lt-LT"/>
        </w:rPr>
        <w:br/>
      </w:r>
    </w:p>
    <w:p w14:paraId="555DE174" w14:textId="77777777" w:rsidR="00B04FCD" w:rsidRPr="001747D7" w:rsidRDefault="00B04FCD">
      <w:pPr>
        <w:suppressAutoHyphens/>
        <w:jc w:val="center"/>
        <w:rPr>
          <w:lang w:eastAsia="lt-LT"/>
        </w:rPr>
      </w:pPr>
    </w:p>
    <w:p w14:paraId="555DE175" w14:textId="77777777" w:rsidR="00B04FCD" w:rsidRPr="001747D7" w:rsidRDefault="001747D7">
      <w:pPr>
        <w:suppressAutoHyphens/>
        <w:spacing w:line="276" w:lineRule="auto"/>
        <w:ind w:firstLine="567"/>
        <w:jc w:val="both"/>
        <w:rPr>
          <w:szCs w:val="24"/>
          <w:lang w:eastAsia="lt-LT"/>
        </w:rPr>
      </w:pPr>
      <w:r w:rsidRPr="001747D7">
        <w:rPr>
          <w:szCs w:val="24"/>
          <w:lang w:eastAsia="lt-LT"/>
        </w:rPr>
        <w:t>Vadovaudamasis Lietuvos Respublikos statybos įstatymo 48 straipsnio 7 dalimi ir Lietuvos Respublikos Vyriausybės 2002 m. vasario 26 d. nutarimo Nr. 280 „Dėl Lietuvos Respublikos statybos įstatymo įgyvendinimo“ 1.5 papunkčiu,</w:t>
      </w:r>
    </w:p>
    <w:p w14:paraId="555DE179" w14:textId="3A440123" w:rsidR="00B04FCD" w:rsidRPr="001747D7" w:rsidRDefault="001747D7" w:rsidP="001747D7">
      <w:pPr>
        <w:suppressAutoHyphens/>
        <w:spacing w:line="276" w:lineRule="auto"/>
        <w:ind w:firstLine="567"/>
        <w:jc w:val="both"/>
        <w:rPr>
          <w:lang w:eastAsia="lt-LT"/>
        </w:rPr>
      </w:pPr>
      <w:r w:rsidRPr="001747D7">
        <w:rPr>
          <w:lang w:eastAsia="lt-LT"/>
        </w:rPr>
        <w:t>t v i r t i n u pri</w:t>
      </w:r>
      <w:r w:rsidRPr="001747D7">
        <w:rPr>
          <w:lang w:eastAsia="lt-LT"/>
        </w:rPr>
        <w:t>dedamą Daugiabučių gyvenamųjų namų techninės priežiūros tarifo apskaičiavimo metodiką.</w:t>
      </w:r>
    </w:p>
    <w:p w14:paraId="3CE26D51" w14:textId="77777777" w:rsidR="001747D7" w:rsidRPr="001747D7" w:rsidRDefault="001747D7">
      <w:pPr>
        <w:tabs>
          <w:tab w:val="left" w:pos="4825"/>
        </w:tabs>
        <w:suppressAutoHyphens/>
        <w:ind w:left="8" w:right="34"/>
      </w:pPr>
    </w:p>
    <w:p w14:paraId="7330496D" w14:textId="77777777" w:rsidR="001747D7" w:rsidRPr="001747D7" w:rsidRDefault="001747D7">
      <w:pPr>
        <w:tabs>
          <w:tab w:val="left" w:pos="4825"/>
        </w:tabs>
        <w:suppressAutoHyphens/>
        <w:ind w:left="8" w:right="34"/>
      </w:pPr>
    </w:p>
    <w:p w14:paraId="1E7DC7EC" w14:textId="77777777" w:rsidR="001747D7" w:rsidRPr="001747D7" w:rsidRDefault="001747D7">
      <w:pPr>
        <w:tabs>
          <w:tab w:val="left" w:pos="4825"/>
        </w:tabs>
        <w:suppressAutoHyphens/>
        <w:ind w:left="8" w:right="34"/>
      </w:pPr>
    </w:p>
    <w:p w14:paraId="555DE17C" w14:textId="1D34BA48" w:rsidR="00B04FCD" w:rsidRPr="001747D7" w:rsidRDefault="001747D7" w:rsidP="001747D7">
      <w:pPr>
        <w:tabs>
          <w:tab w:val="left" w:pos="7655"/>
        </w:tabs>
        <w:suppressAutoHyphens/>
        <w:ind w:left="8" w:right="34"/>
      </w:pPr>
      <w:r w:rsidRPr="001747D7">
        <w:rPr>
          <w:lang w:eastAsia="lt-LT"/>
        </w:rPr>
        <w:t xml:space="preserve">Aplinkos ministras </w:t>
      </w:r>
      <w:r w:rsidRPr="001747D7">
        <w:rPr>
          <w:lang w:eastAsia="lt-LT"/>
        </w:rPr>
        <w:tab/>
      </w:r>
      <w:r w:rsidRPr="001747D7">
        <w:rPr>
          <w:lang w:eastAsia="lt-LT"/>
        </w:rPr>
        <w:t>Kęstutis Navickas</w:t>
      </w:r>
    </w:p>
    <w:p w14:paraId="6A09CC36" w14:textId="77777777" w:rsidR="001747D7" w:rsidRPr="001747D7" w:rsidRDefault="001747D7">
      <w:pPr>
        <w:ind w:left="5670"/>
        <w:sectPr w:rsidR="001747D7" w:rsidRPr="001747D7" w:rsidSect="001747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5" w:h="16837"/>
          <w:pgMar w:top="1418" w:right="708" w:bottom="1032" w:left="1701" w:header="851" w:footer="919" w:gutter="0"/>
          <w:cols w:space="1296"/>
          <w:formProt w:val="0"/>
          <w:titlePg/>
          <w:docGrid w:linePitch="360"/>
        </w:sectPr>
      </w:pPr>
    </w:p>
    <w:p w14:paraId="555DE17D" w14:textId="489DD539" w:rsidR="00B04FCD" w:rsidRPr="001747D7" w:rsidRDefault="001747D7">
      <w:pPr>
        <w:ind w:left="5670"/>
      </w:pPr>
      <w:r w:rsidRPr="001747D7">
        <w:lastRenderedPageBreak/>
        <w:t>PATVIRTINTA</w:t>
      </w:r>
    </w:p>
    <w:p w14:paraId="555DE17E" w14:textId="77777777" w:rsidR="00B04FCD" w:rsidRPr="001747D7" w:rsidRDefault="001747D7">
      <w:pPr>
        <w:ind w:left="5670"/>
      </w:pPr>
      <w:r w:rsidRPr="001747D7">
        <w:t xml:space="preserve">Lietuvos Respublikos aplinkos ministro 2018 m. gegužės 3 d. įsakymu </w:t>
      </w:r>
    </w:p>
    <w:p w14:paraId="555DE17F" w14:textId="77777777" w:rsidR="00B04FCD" w:rsidRPr="001747D7" w:rsidRDefault="001747D7">
      <w:pPr>
        <w:ind w:left="5670"/>
      </w:pPr>
      <w:r w:rsidRPr="001747D7">
        <w:t>Nr. D1-354</w:t>
      </w:r>
    </w:p>
    <w:p w14:paraId="555DE180" w14:textId="77777777" w:rsidR="00B04FCD" w:rsidRPr="001747D7" w:rsidRDefault="00B04FCD">
      <w:pPr>
        <w:ind w:left="5670"/>
      </w:pPr>
    </w:p>
    <w:p w14:paraId="555DE181" w14:textId="77777777" w:rsidR="00B04FCD" w:rsidRPr="001747D7" w:rsidRDefault="00B04FCD">
      <w:pPr>
        <w:ind w:left="5670"/>
      </w:pPr>
    </w:p>
    <w:p w14:paraId="555DE182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 xml:space="preserve">DAUGIABUČIŲ GYVENAMŲJŲ </w:t>
      </w:r>
      <w:r w:rsidRPr="001747D7">
        <w:rPr>
          <w:b/>
        </w:rPr>
        <w:t>NAMŲ TECHNINĖS PRIEŽIŪROS TARIFO APSKAIČIAVIMO METODIKA</w:t>
      </w:r>
    </w:p>
    <w:p w14:paraId="555DE183" w14:textId="77777777" w:rsidR="00B04FCD" w:rsidRPr="001747D7" w:rsidRDefault="00B04FCD" w:rsidP="001747D7">
      <w:pPr>
        <w:jc w:val="center"/>
        <w:rPr>
          <w:b/>
        </w:rPr>
      </w:pPr>
    </w:p>
    <w:p w14:paraId="555DE184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I</w:t>
      </w:r>
      <w:r w:rsidRPr="001747D7">
        <w:rPr>
          <w:b/>
        </w:rPr>
        <w:t xml:space="preserve"> SKYRIUS</w:t>
      </w:r>
    </w:p>
    <w:p w14:paraId="555DE185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BENDROSIOS NUOSTATOS</w:t>
      </w:r>
    </w:p>
    <w:p w14:paraId="555DE186" w14:textId="77777777" w:rsidR="00B04FCD" w:rsidRPr="001747D7" w:rsidRDefault="00B04FCD">
      <w:pPr>
        <w:jc w:val="center"/>
        <w:rPr>
          <w:b/>
        </w:rPr>
      </w:pPr>
    </w:p>
    <w:p w14:paraId="555DE187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rPr>
          <w:lang w:eastAsia="lt-LT"/>
        </w:rPr>
        <w:t>1</w:t>
      </w:r>
      <w:r w:rsidRPr="001747D7">
        <w:rPr>
          <w:lang w:eastAsia="lt-LT"/>
        </w:rPr>
        <w:t xml:space="preserve">. </w:t>
      </w:r>
      <w:r w:rsidRPr="001747D7">
        <w:t>Daugiabučių gyvenamųjų namų techninės priežiūros tarifo apskaičiavimo metodika (toliau ‒ metodika) nustato daugiabučių gyvenamųjų namų (išskyrus namo šildym</w:t>
      </w:r>
      <w:r w:rsidRPr="001747D7">
        <w:t>o ir karšto vandens sistemos ir liftų) techninės priežiūros tarifo apskaičiavimo tvarką, kai daugiabučių gyvenamųjų namų techninę priežiūrą vykdo Lietuvos Respublikos civilinio kodekso nustatyta tvarka savivaldybės paskirtas bendrojo naudojimo objektų admi</w:t>
      </w:r>
      <w:r w:rsidRPr="001747D7">
        <w:t xml:space="preserve">nistratorius (toliau – administratorius). </w:t>
      </w:r>
    </w:p>
    <w:p w14:paraId="555DE188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rPr>
          <w:lang w:eastAsia="lt-LT"/>
        </w:rPr>
        <w:t>2</w:t>
      </w:r>
      <w:r w:rsidRPr="001747D7">
        <w:rPr>
          <w:lang w:eastAsia="lt-LT"/>
        </w:rPr>
        <w:t xml:space="preserve">. </w:t>
      </w:r>
      <w:r w:rsidRPr="001747D7">
        <w:t>Metodika turi vadovautis administratoriai ir savivaldybės. Kitiems daugiabučių namų bendrojo naudojimo objektų valdytojams metodika rekomenduojama.</w:t>
      </w:r>
    </w:p>
    <w:p w14:paraId="555DE189" w14:textId="77777777" w:rsidR="00B04FCD" w:rsidRPr="001747D7" w:rsidRDefault="001747D7" w:rsidP="001747D7">
      <w:pPr>
        <w:jc w:val="both"/>
      </w:pPr>
    </w:p>
    <w:p w14:paraId="555DE18A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II</w:t>
      </w:r>
      <w:r w:rsidRPr="001747D7">
        <w:rPr>
          <w:b/>
        </w:rPr>
        <w:t xml:space="preserve"> SKYRIUS</w:t>
      </w:r>
    </w:p>
    <w:p w14:paraId="555DE18B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NUORODOS</w:t>
      </w:r>
    </w:p>
    <w:p w14:paraId="555DE18C" w14:textId="77777777" w:rsidR="00B04FCD" w:rsidRPr="001747D7" w:rsidRDefault="00B04FCD">
      <w:pPr>
        <w:ind w:firstLine="567"/>
        <w:jc w:val="center"/>
      </w:pPr>
    </w:p>
    <w:p w14:paraId="555DE18D" w14:textId="77777777" w:rsidR="00B04FCD" w:rsidRPr="001747D7" w:rsidRDefault="001747D7">
      <w:pPr>
        <w:tabs>
          <w:tab w:val="left" w:pos="851"/>
        </w:tabs>
        <w:ind w:left="709" w:hanging="142"/>
        <w:jc w:val="both"/>
      </w:pPr>
      <w:r w:rsidRPr="001747D7">
        <w:t>3</w:t>
      </w:r>
      <w:r w:rsidRPr="001747D7">
        <w:t xml:space="preserve">. Metodikoje pateikiamos </w:t>
      </w:r>
      <w:r w:rsidRPr="001747D7">
        <w:t>nuorodos į šiuos teisės aktus:</w:t>
      </w:r>
    </w:p>
    <w:p w14:paraId="555DE18E" w14:textId="77777777" w:rsidR="00B04FCD" w:rsidRPr="001747D7" w:rsidRDefault="001747D7">
      <w:pPr>
        <w:tabs>
          <w:tab w:val="left" w:pos="993"/>
        </w:tabs>
        <w:ind w:left="1069" w:hanging="502"/>
        <w:jc w:val="both"/>
      </w:pPr>
      <w:r w:rsidRPr="001747D7">
        <w:rPr>
          <w:lang w:eastAsia="lt-LT"/>
        </w:rPr>
        <w:t>3.1</w:t>
      </w:r>
      <w:r w:rsidRPr="001747D7">
        <w:rPr>
          <w:lang w:eastAsia="lt-LT"/>
        </w:rPr>
        <w:t xml:space="preserve">. </w:t>
      </w:r>
      <w:r w:rsidRPr="001747D7">
        <w:t xml:space="preserve"> Lietuvos Respublikos civilinį kodeksą;</w:t>
      </w:r>
    </w:p>
    <w:p w14:paraId="555DE18F" w14:textId="77777777" w:rsidR="00B04FCD" w:rsidRPr="001747D7" w:rsidRDefault="001747D7">
      <w:pPr>
        <w:tabs>
          <w:tab w:val="left" w:pos="993"/>
        </w:tabs>
        <w:ind w:left="1069" w:hanging="502"/>
        <w:jc w:val="both"/>
      </w:pPr>
      <w:r w:rsidRPr="001747D7">
        <w:rPr>
          <w:lang w:eastAsia="lt-LT"/>
        </w:rPr>
        <w:t>3.2</w:t>
      </w:r>
      <w:r w:rsidRPr="001747D7">
        <w:rPr>
          <w:lang w:eastAsia="lt-LT"/>
        </w:rPr>
        <w:t xml:space="preserve">. </w:t>
      </w:r>
      <w:r w:rsidRPr="001747D7">
        <w:t xml:space="preserve">Lietuvos Respublikos statybos įstatymą; </w:t>
      </w:r>
    </w:p>
    <w:p w14:paraId="555DE190" w14:textId="77777777" w:rsidR="00B04FCD" w:rsidRPr="001747D7" w:rsidRDefault="001747D7">
      <w:pPr>
        <w:tabs>
          <w:tab w:val="left" w:pos="851"/>
          <w:tab w:val="left" w:pos="993"/>
        </w:tabs>
        <w:ind w:firstLine="567"/>
        <w:jc w:val="both"/>
      </w:pPr>
      <w:r w:rsidRPr="001747D7">
        <w:rPr>
          <w:lang w:eastAsia="lt-LT"/>
        </w:rPr>
        <w:t>3.3</w:t>
      </w:r>
      <w:r w:rsidRPr="001747D7">
        <w:rPr>
          <w:lang w:eastAsia="lt-LT"/>
        </w:rPr>
        <w:t xml:space="preserve">. </w:t>
      </w:r>
      <w:r w:rsidRPr="001747D7">
        <w:t>statybos techninį reglamentą STR 1.07.03:2017 „Statinių techninės ir naudojimo priežiūros tvarka. Naujų nekilnojamojo t</w:t>
      </w:r>
      <w:r w:rsidRPr="001747D7">
        <w:t>urto kadastro objektų formavimo tvarka“, patvirtintą Lietuvos Respublikos aplinkos ministro 2016 m. gruodžio 30 d. įsakymu Nr. D1-971 „Dėl statybos techninio reglamento STR 1.07.03:2017 „Statinių techninės ir naudojimo priežiūros tvarka. Naujų nekilnojamoj</w:t>
      </w:r>
      <w:r w:rsidRPr="001747D7">
        <w:t>o turto kadastro objektų formavimo tvarka“ patvirtinimo“;</w:t>
      </w:r>
    </w:p>
    <w:p w14:paraId="555DE191" w14:textId="77777777" w:rsidR="00B04FCD" w:rsidRPr="001747D7" w:rsidRDefault="001747D7">
      <w:pPr>
        <w:ind w:firstLine="567"/>
        <w:jc w:val="both"/>
      </w:pPr>
      <w:r w:rsidRPr="001747D7">
        <w:t>3.4</w:t>
      </w:r>
      <w:r w:rsidRPr="001747D7">
        <w:t>. Nekilnojamojo turto kadastrinių matavimų ir kadastro duomenų surinkimo bei tikslinimo taisykles, patvirtintas Lietuvos Respublikos žemės ūkio ministro 2002 m. gruodžio 30 d. įsakymu Nr. 522</w:t>
      </w:r>
      <w:r w:rsidRPr="001747D7">
        <w:t xml:space="preserve"> „Dėl Nekilnojamojo turto objektų kadastrinių matavimų ir kadastro duomenų surinkimo bei tikslinimo taisyklių patvirtinimo“.</w:t>
      </w:r>
    </w:p>
    <w:p w14:paraId="555DE192" w14:textId="77777777" w:rsidR="00B04FCD" w:rsidRPr="001747D7" w:rsidRDefault="001747D7">
      <w:pPr>
        <w:ind w:firstLine="709"/>
        <w:jc w:val="center"/>
        <w:rPr>
          <w:b/>
        </w:rPr>
      </w:pPr>
    </w:p>
    <w:p w14:paraId="555DE193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III</w:t>
      </w:r>
      <w:r w:rsidRPr="001747D7">
        <w:rPr>
          <w:b/>
        </w:rPr>
        <w:t xml:space="preserve"> SKYRIUS</w:t>
      </w:r>
    </w:p>
    <w:p w14:paraId="555DE194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SĄVOKOS</w:t>
      </w:r>
    </w:p>
    <w:p w14:paraId="555DE196" w14:textId="77777777" w:rsidR="00B04FCD" w:rsidRPr="001747D7" w:rsidRDefault="00B04FCD">
      <w:pPr>
        <w:ind w:firstLine="709"/>
        <w:jc w:val="center"/>
        <w:rPr>
          <w:b/>
        </w:rPr>
      </w:pPr>
    </w:p>
    <w:p w14:paraId="555DE197" w14:textId="77777777" w:rsidR="00B04FCD" w:rsidRPr="001747D7" w:rsidRDefault="001747D7">
      <w:pPr>
        <w:ind w:firstLine="567"/>
        <w:jc w:val="both"/>
      </w:pPr>
      <w:r w:rsidRPr="001747D7">
        <w:t>4</w:t>
      </w:r>
      <w:r w:rsidRPr="001747D7">
        <w:t>. Metodikoje vartojamos sąvokos atitinka metodikos 3 punkte nurodytuose teisės aktuose pateikta</w:t>
      </w:r>
      <w:r w:rsidRPr="001747D7">
        <w:t>s sąvokas.</w:t>
      </w:r>
    </w:p>
    <w:p w14:paraId="555DE198" w14:textId="77777777" w:rsidR="00B04FCD" w:rsidRPr="001747D7" w:rsidRDefault="001747D7">
      <w:pPr>
        <w:ind w:firstLine="709"/>
        <w:jc w:val="both"/>
        <w:rPr>
          <w:b/>
        </w:rPr>
      </w:pPr>
    </w:p>
    <w:p w14:paraId="555DE199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IV</w:t>
      </w:r>
      <w:r w:rsidRPr="001747D7">
        <w:rPr>
          <w:b/>
        </w:rPr>
        <w:t xml:space="preserve"> SKYRIUS</w:t>
      </w:r>
    </w:p>
    <w:p w14:paraId="555DE19A" w14:textId="77777777" w:rsidR="00B04FCD" w:rsidRPr="001747D7" w:rsidRDefault="001747D7" w:rsidP="001747D7">
      <w:pPr>
        <w:jc w:val="center"/>
        <w:rPr>
          <w:b/>
        </w:rPr>
      </w:pPr>
      <w:r w:rsidRPr="001747D7">
        <w:rPr>
          <w:b/>
        </w:rPr>
        <w:t>DAUGIABUČIŲ GYVENAMŲJŲ NAMŲ TECHNINĖS PRIEŽIŪROS TARIFO APSKAIČIAVIMO TVARKA</w:t>
      </w:r>
    </w:p>
    <w:p w14:paraId="555DE19C" w14:textId="77777777" w:rsidR="00B04FCD" w:rsidRPr="001747D7" w:rsidRDefault="00B04FCD">
      <w:pPr>
        <w:widowControl w:val="0"/>
        <w:suppressAutoHyphens/>
        <w:ind w:firstLine="567"/>
        <w:jc w:val="both"/>
        <w:rPr>
          <w:rFonts w:eastAsia="Andale Sans UI" w:cs="Tahoma"/>
          <w:szCs w:val="24"/>
          <w:lang w:bidi="en-US"/>
        </w:rPr>
      </w:pPr>
    </w:p>
    <w:p w14:paraId="555DE19D" w14:textId="77777777" w:rsidR="00B04FCD" w:rsidRPr="001747D7" w:rsidRDefault="001747D7">
      <w:pPr>
        <w:widowControl w:val="0"/>
        <w:suppressAutoHyphens/>
        <w:ind w:firstLine="567"/>
        <w:jc w:val="both"/>
        <w:rPr>
          <w:rFonts w:eastAsia="Andale Sans UI" w:cs="Tahoma"/>
          <w:szCs w:val="24"/>
          <w:lang w:bidi="en-US"/>
        </w:rPr>
      </w:pPr>
      <w:r w:rsidRPr="001747D7">
        <w:rPr>
          <w:rFonts w:eastAsia="Andale Sans UI" w:cs="Tahoma"/>
          <w:szCs w:val="24"/>
          <w:lang w:bidi="en-US"/>
        </w:rPr>
        <w:t>5</w:t>
      </w:r>
      <w:r w:rsidRPr="001747D7">
        <w:rPr>
          <w:rFonts w:eastAsia="Andale Sans UI" w:cs="Tahoma"/>
          <w:szCs w:val="24"/>
          <w:lang w:bidi="en-US"/>
        </w:rPr>
        <w:t>. Daugiabučių gyvenamųjų namų (toliau – namas) techninės priežiūros tarifas (toliau – tarifas) apskaičiuojamas vertinant statybos techniniame r</w:t>
      </w:r>
      <w:r w:rsidRPr="001747D7">
        <w:rPr>
          <w:rFonts w:eastAsia="Andale Sans UI" w:cs="Tahoma"/>
          <w:szCs w:val="24"/>
          <w:lang w:bidi="en-US"/>
        </w:rPr>
        <w:t xml:space="preserve">eglamente STR 1.07.03:2017 „Statinių techninės ir naudojimo priežiūros tvarka. Naujų nekilnojamojo turto kadastro objektų formavimo tvarka“ [3.3] (toliau – reglamentas) nurodytų darbų metines išlaidas: </w:t>
      </w:r>
    </w:p>
    <w:p w14:paraId="555DE19E" w14:textId="77777777" w:rsidR="00B04FCD" w:rsidRPr="001747D7" w:rsidRDefault="001747D7">
      <w:pPr>
        <w:widowControl w:val="0"/>
        <w:suppressAutoHyphens/>
        <w:ind w:firstLine="567"/>
        <w:jc w:val="both"/>
        <w:rPr>
          <w:rFonts w:eastAsia="Andale Sans UI" w:cs="Tahoma"/>
          <w:szCs w:val="24"/>
          <w:lang w:bidi="en-US"/>
        </w:rPr>
      </w:pPr>
      <w:r w:rsidRPr="001747D7">
        <w:rPr>
          <w:rFonts w:eastAsia="Andale Sans UI" w:cs="Tahoma"/>
          <w:szCs w:val="24"/>
          <w:lang w:bidi="en-US"/>
        </w:rPr>
        <w:t>5.1</w:t>
      </w:r>
      <w:r w:rsidRPr="001747D7">
        <w:rPr>
          <w:rFonts w:eastAsia="Andale Sans UI" w:cs="Tahoma"/>
          <w:szCs w:val="24"/>
          <w:lang w:bidi="en-US"/>
        </w:rPr>
        <w:t>. nuolatinių namo būklės stebėjimų (toliau – nuo</w:t>
      </w:r>
      <w:r w:rsidRPr="001747D7">
        <w:rPr>
          <w:rFonts w:eastAsia="Andale Sans UI" w:cs="Tahoma"/>
          <w:szCs w:val="24"/>
          <w:lang w:bidi="en-US"/>
        </w:rPr>
        <w:t>latiniai stebėjimai);</w:t>
      </w:r>
    </w:p>
    <w:p w14:paraId="555DE19F" w14:textId="77777777" w:rsidR="00B04FCD" w:rsidRPr="001747D7" w:rsidRDefault="001747D7">
      <w:pPr>
        <w:widowControl w:val="0"/>
        <w:suppressAutoHyphens/>
        <w:ind w:firstLine="567"/>
        <w:jc w:val="both"/>
        <w:rPr>
          <w:rFonts w:eastAsia="Andale Sans UI" w:cs="Tahoma"/>
          <w:szCs w:val="24"/>
          <w:lang w:bidi="en-US"/>
        </w:rPr>
      </w:pPr>
      <w:r w:rsidRPr="001747D7">
        <w:rPr>
          <w:rFonts w:eastAsia="Andale Sans UI" w:cs="Tahoma"/>
          <w:szCs w:val="24"/>
          <w:lang w:bidi="en-US"/>
        </w:rPr>
        <w:t>5.2</w:t>
      </w:r>
      <w:r w:rsidRPr="001747D7">
        <w:rPr>
          <w:rFonts w:eastAsia="Andale Sans UI" w:cs="Tahoma"/>
          <w:szCs w:val="24"/>
          <w:lang w:bidi="en-US"/>
        </w:rPr>
        <w:t xml:space="preserve">. periodinių (sezoninių) namo apžiūrų (toliau – apžiūros); </w:t>
      </w:r>
    </w:p>
    <w:p w14:paraId="555DE1A0" w14:textId="77777777" w:rsidR="00B04FCD" w:rsidRPr="001747D7" w:rsidRDefault="001747D7">
      <w:pPr>
        <w:widowControl w:val="0"/>
        <w:suppressAutoHyphens/>
        <w:ind w:firstLine="567"/>
        <w:jc w:val="both"/>
        <w:rPr>
          <w:rFonts w:eastAsia="Andale Sans UI" w:cs="Tahoma"/>
          <w:szCs w:val="24"/>
          <w:lang w:bidi="en-US"/>
        </w:rPr>
      </w:pPr>
      <w:r w:rsidRPr="001747D7">
        <w:rPr>
          <w:rFonts w:eastAsia="Andale Sans UI" w:cs="Tahoma"/>
          <w:szCs w:val="24"/>
          <w:lang w:bidi="en-US"/>
        </w:rPr>
        <w:t>5.3</w:t>
      </w:r>
      <w:r w:rsidRPr="001747D7">
        <w:rPr>
          <w:rFonts w:eastAsia="Andale Sans UI" w:cs="Tahoma"/>
          <w:szCs w:val="24"/>
          <w:lang w:bidi="en-US"/>
        </w:rPr>
        <w:t xml:space="preserve">. nuolatinių stebėjimų ir apžiūrų dokumentų, privalomų pagal reglamento 51 punktą, rengimo, pildymo ir saugojimo. </w:t>
      </w:r>
    </w:p>
    <w:p w14:paraId="555DE1A1" w14:textId="77777777" w:rsidR="00B04FCD" w:rsidRPr="001747D7" w:rsidRDefault="001747D7">
      <w:pPr>
        <w:widowControl w:val="0"/>
        <w:suppressAutoHyphens/>
        <w:ind w:firstLine="567"/>
        <w:jc w:val="both"/>
        <w:rPr>
          <w:rFonts w:eastAsia="Andale Sans UI" w:cs="Tahoma"/>
          <w:szCs w:val="24"/>
          <w:lang w:bidi="en-US"/>
        </w:rPr>
      </w:pPr>
      <w:r w:rsidRPr="001747D7">
        <w:rPr>
          <w:rFonts w:eastAsia="Andale Sans UI" w:cs="Tahoma"/>
          <w:szCs w:val="24"/>
          <w:lang w:bidi="en-US"/>
        </w:rPr>
        <w:t>6</w:t>
      </w:r>
      <w:r w:rsidRPr="001747D7">
        <w:rPr>
          <w:rFonts w:eastAsia="Andale Sans UI" w:cs="Tahoma"/>
          <w:szCs w:val="24"/>
          <w:lang w:bidi="en-US"/>
        </w:rPr>
        <w:t xml:space="preserve">. Tarifui apskaičiuoti pasirinktas </w:t>
      </w:r>
      <w:r w:rsidRPr="001747D7">
        <w:rPr>
          <w:rFonts w:eastAsia="Andale Sans UI" w:cs="Tahoma"/>
          <w:szCs w:val="24"/>
          <w:lang w:bidi="en-US"/>
        </w:rPr>
        <w:t>vidutinio dydžio 1500 m</w:t>
      </w:r>
      <w:r w:rsidRPr="001747D7">
        <w:rPr>
          <w:rFonts w:eastAsia="Andale Sans UI" w:cs="Tahoma"/>
          <w:szCs w:val="24"/>
          <w:vertAlign w:val="superscript"/>
          <w:lang w:bidi="en-US"/>
        </w:rPr>
        <w:t>2</w:t>
      </w:r>
      <w:r w:rsidRPr="001747D7">
        <w:rPr>
          <w:rFonts w:eastAsia="Andale Sans UI" w:cs="Tahoma"/>
          <w:szCs w:val="24"/>
          <w:lang w:bidi="en-US"/>
        </w:rPr>
        <w:t xml:space="preserve"> bendrojo ploto namas (Nacionalinės žemės tarnybos prie Žemės ūkio ministerijos ir valstybės įmonės Registrų centro parengtais 2018 m. sausio 1 d. Lietuvos Respublikos nekilnojamojo turto registre įregistruotų statinių apskaitos duomenimis) (toliau – pasir</w:t>
      </w:r>
      <w:r w:rsidRPr="001747D7">
        <w:rPr>
          <w:rFonts w:eastAsia="Andale Sans UI" w:cs="Tahoma"/>
          <w:szCs w:val="24"/>
          <w:lang w:bidi="en-US"/>
        </w:rPr>
        <w:t>inktas namas).</w:t>
      </w:r>
    </w:p>
    <w:p w14:paraId="555DE1A2" w14:textId="77777777" w:rsidR="00B04FCD" w:rsidRPr="001747D7" w:rsidRDefault="001747D7">
      <w:pPr>
        <w:widowControl w:val="0"/>
        <w:suppressAutoHyphens/>
        <w:ind w:firstLine="567"/>
        <w:jc w:val="both"/>
        <w:rPr>
          <w:rFonts w:eastAsia="Andale Sans UI" w:cs="Tahoma"/>
          <w:szCs w:val="24"/>
          <w:lang w:bidi="en-US"/>
        </w:rPr>
      </w:pPr>
      <w:r w:rsidRPr="001747D7">
        <w:rPr>
          <w:rFonts w:eastAsia="Andale Sans UI" w:cs="Tahoma"/>
          <w:szCs w:val="24"/>
          <w:lang w:bidi="en-US"/>
        </w:rPr>
        <w:t>7</w:t>
      </w:r>
      <w:r w:rsidRPr="001747D7">
        <w:rPr>
          <w:rFonts w:eastAsia="Andale Sans UI" w:cs="Tahoma"/>
          <w:szCs w:val="24"/>
          <w:lang w:bidi="en-US"/>
        </w:rPr>
        <w:t>. Pasirinkto namo tarifas apskaičiuojamas pagal formulę:</w:t>
      </w:r>
    </w:p>
    <w:p w14:paraId="555DE1A3" w14:textId="77777777" w:rsidR="00B04FCD" w:rsidRPr="001747D7" w:rsidRDefault="00B04FCD">
      <w:pPr>
        <w:tabs>
          <w:tab w:val="left" w:pos="993"/>
        </w:tabs>
        <w:ind w:firstLine="567"/>
        <w:jc w:val="both"/>
      </w:pPr>
    </w:p>
    <w:p w14:paraId="555DE1A4" w14:textId="77777777" w:rsidR="00B04FCD" w:rsidRPr="001747D7" w:rsidRDefault="001747D7">
      <w:pPr>
        <w:tabs>
          <w:tab w:val="left" w:pos="851"/>
        </w:tabs>
        <w:ind w:firstLine="567"/>
        <w:jc w:val="both"/>
        <w:rPr>
          <w:b/>
        </w:rPr>
      </w:pPr>
      <w:r w:rsidRPr="001747D7">
        <w:t>T = D /</w:t>
      </w:r>
      <w:r w:rsidRPr="001747D7">
        <w:rPr>
          <w:b/>
        </w:rPr>
        <w:t xml:space="preserve"> </w:t>
      </w:r>
      <w:r w:rsidRPr="001747D7">
        <w:t>(</w:t>
      </w:r>
      <w:proofErr w:type="spellStart"/>
      <w:r w:rsidRPr="001747D7">
        <w:t>N</w:t>
      </w:r>
      <w:r w:rsidRPr="001747D7">
        <w:rPr>
          <w:vertAlign w:val="subscript"/>
        </w:rPr>
        <w:t>pl</w:t>
      </w:r>
      <w:proofErr w:type="spellEnd"/>
      <w:r w:rsidRPr="001747D7">
        <w:t xml:space="preserve"> ×12) = (D</w:t>
      </w:r>
      <w:r w:rsidRPr="001747D7">
        <w:rPr>
          <w:vertAlign w:val="subscript"/>
        </w:rPr>
        <w:t xml:space="preserve">1 </w:t>
      </w:r>
      <w:r w:rsidRPr="001747D7">
        <w:t>+ D</w:t>
      </w:r>
      <w:r w:rsidRPr="001747D7">
        <w:rPr>
          <w:vertAlign w:val="subscript"/>
        </w:rPr>
        <w:t>2</w:t>
      </w:r>
      <w:r w:rsidRPr="001747D7">
        <w:t>) /</w:t>
      </w:r>
      <w:r w:rsidRPr="001747D7">
        <w:rPr>
          <w:b/>
        </w:rPr>
        <w:t xml:space="preserve"> </w:t>
      </w:r>
      <w:r w:rsidRPr="001747D7">
        <w:t>(</w:t>
      </w:r>
      <w:proofErr w:type="spellStart"/>
      <w:r w:rsidRPr="001747D7">
        <w:t>N</w:t>
      </w:r>
      <w:r w:rsidRPr="001747D7">
        <w:rPr>
          <w:vertAlign w:val="subscript"/>
        </w:rPr>
        <w:t>pl</w:t>
      </w:r>
      <w:proofErr w:type="spellEnd"/>
      <w:r w:rsidRPr="001747D7">
        <w:t xml:space="preserve"> ×12), </w:t>
      </w:r>
    </w:p>
    <w:p w14:paraId="555DE1A5" w14:textId="77777777" w:rsidR="00B04FCD" w:rsidRPr="001747D7" w:rsidRDefault="00B04FCD">
      <w:pPr>
        <w:tabs>
          <w:tab w:val="left" w:pos="851"/>
        </w:tabs>
        <w:ind w:firstLine="567"/>
        <w:jc w:val="both"/>
      </w:pPr>
    </w:p>
    <w:p w14:paraId="555DE1A6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>kur:</w:t>
      </w:r>
    </w:p>
    <w:p w14:paraId="555DE1A7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 xml:space="preserve">T – vidutinio dydžio namo tarifas, </w:t>
      </w:r>
      <w:proofErr w:type="spellStart"/>
      <w:r w:rsidRPr="001747D7">
        <w:t>Eur</w:t>
      </w:r>
      <w:proofErr w:type="spellEnd"/>
      <w:r w:rsidRPr="001747D7">
        <w:t>/m</w:t>
      </w:r>
      <w:r w:rsidRPr="001747D7">
        <w:rPr>
          <w:vertAlign w:val="superscript"/>
        </w:rPr>
        <w:t>2</w:t>
      </w:r>
      <w:r w:rsidRPr="001747D7">
        <w:t>/</w:t>
      </w:r>
      <w:proofErr w:type="spellStart"/>
      <w:r w:rsidRPr="001747D7">
        <w:t>mėn</w:t>
      </w:r>
      <w:proofErr w:type="spellEnd"/>
      <w:r w:rsidRPr="001747D7">
        <w:t xml:space="preserve"> (nurodomas be pridėtinės vertės mokesčio (toliau – PVM), atskirai nurodomas PVM dy</w:t>
      </w:r>
      <w:r w:rsidRPr="001747D7">
        <w:t>dis ir tarifas su PVM);</w:t>
      </w:r>
    </w:p>
    <w:p w14:paraId="555DE1A8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>D – D</w:t>
      </w:r>
      <w:r w:rsidRPr="001747D7">
        <w:rPr>
          <w:vertAlign w:val="subscript"/>
        </w:rPr>
        <w:t>1</w:t>
      </w:r>
      <w:r w:rsidRPr="001747D7">
        <w:t>, D</w:t>
      </w:r>
      <w:r w:rsidRPr="001747D7">
        <w:rPr>
          <w:vertAlign w:val="subscript"/>
        </w:rPr>
        <w:t xml:space="preserve">2 </w:t>
      </w:r>
      <w:r w:rsidRPr="001747D7">
        <w:t>– pasirinkto namo Metodikos 5.1–5.3 papunkčiuose nurodytų nuolatinių stebėjimų, apžiūrų ir jų privalomų dokumentų rengimo, pildymo ir saugojimo metinės išlaidos (</w:t>
      </w:r>
      <w:proofErr w:type="spellStart"/>
      <w:r w:rsidRPr="001747D7">
        <w:t>Eur</w:t>
      </w:r>
      <w:proofErr w:type="spellEnd"/>
      <w:r w:rsidRPr="001747D7">
        <w:t>);</w:t>
      </w:r>
    </w:p>
    <w:p w14:paraId="555DE1A9" w14:textId="77777777" w:rsidR="00B04FCD" w:rsidRPr="001747D7" w:rsidRDefault="001747D7">
      <w:pPr>
        <w:tabs>
          <w:tab w:val="left" w:pos="851"/>
        </w:tabs>
        <w:ind w:firstLine="567"/>
        <w:jc w:val="both"/>
      </w:pPr>
      <w:proofErr w:type="spellStart"/>
      <w:r w:rsidRPr="001747D7">
        <w:t>N</w:t>
      </w:r>
      <w:r w:rsidRPr="001747D7">
        <w:rPr>
          <w:vertAlign w:val="subscript"/>
        </w:rPr>
        <w:t>pl</w:t>
      </w:r>
      <w:proofErr w:type="spellEnd"/>
      <w:r w:rsidRPr="001747D7">
        <w:t xml:space="preserve"> – pasirinkto namo bendrasis plotas (m</w:t>
      </w:r>
      <w:r w:rsidRPr="001747D7">
        <w:rPr>
          <w:vertAlign w:val="superscript"/>
        </w:rPr>
        <w:t>2</w:t>
      </w:r>
      <w:r w:rsidRPr="001747D7">
        <w:t xml:space="preserve">); </w:t>
      </w:r>
    </w:p>
    <w:p w14:paraId="555DE1AA" w14:textId="77777777" w:rsidR="00B04FCD" w:rsidRPr="001747D7" w:rsidRDefault="001747D7">
      <w:pPr>
        <w:tabs>
          <w:tab w:val="left" w:pos="851"/>
        </w:tabs>
        <w:ind w:left="567"/>
        <w:jc w:val="both"/>
      </w:pPr>
      <w:r w:rsidRPr="001747D7">
        <w:t>12 – ka</w:t>
      </w:r>
      <w:r w:rsidRPr="001747D7">
        <w:t>lendorinių metų mėnesių skaičius.</w:t>
      </w:r>
    </w:p>
    <w:p w14:paraId="555DE1AB" w14:textId="77777777" w:rsidR="00B04FCD" w:rsidRPr="001747D7" w:rsidRDefault="001747D7">
      <w:pPr>
        <w:tabs>
          <w:tab w:val="left" w:pos="993"/>
        </w:tabs>
        <w:ind w:firstLine="567"/>
        <w:jc w:val="both"/>
      </w:pPr>
      <w:r w:rsidRPr="001747D7">
        <w:t>8</w:t>
      </w:r>
      <w:r w:rsidRPr="001747D7">
        <w:t>. Metinės pasirinkto namo išlaidos D vertinamos pagal Metodikos 5.1-5.3 papunkčiuose nurodytų nuolatinių stebėjimų, apžiūrų ir jų privalomų dokumentų rengimo, pildymo darbo laiko sąnaudas, darbo užmokesčio, socialinio</w:t>
      </w:r>
      <w:r w:rsidRPr="001747D7">
        <w:t xml:space="preserve"> draudimo, transporto, ūkio reikmėms tenkančias pridėtines ir kitas netiesiogines išlaidas ir apskaičiuojamos pagal formulę:</w:t>
      </w:r>
    </w:p>
    <w:p w14:paraId="555DE1AC" w14:textId="77777777" w:rsidR="00B04FCD" w:rsidRPr="001747D7" w:rsidRDefault="00B04FCD">
      <w:pPr>
        <w:tabs>
          <w:tab w:val="left" w:pos="993"/>
        </w:tabs>
        <w:ind w:firstLine="567"/>
        <w:jc w:val="both"/>
      </w:pPr>
    </w:p>
    <w:p w14:paraId="555DE1AD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>D = D</w:t>
      </w:r>
      <w:r w:rsidRPr="001747D7">
        <w:rPr>
          <w:vertAlign w:val="subscript"/>
        </w:rPr>
        <w:t xml:space="preserve">1 </w:t>
      </w:r>
      <w:r w:rsidRPr="001747D7">
        <w:t>+ D</w:t>
      </w:r>
      <w:r w:rsidRPr="001747D7">
        <w:rPr>
          <w:vertAlign w:val="subscript"/>
        </w:rPr>
        <w:t>2</w:t>
      </w:r>
      <w:r w:rsidRPr="001747D7">
        <w:t xml:space="preserve"> = (I</w:t>
      </w:r>
      <w:r w:rsidRPr="001747D7">
        <w:rPr>
          <w:vertAlign w:val="subscript"/>
        </w:rPr>
        <w:t>1</w:t>
      </w:r>
      <w:r w:rsidRPr="001747D7">
        <w:t xml:space="preserve"> ×</w:t>
      </w:r>
      <w:r w:rsidRPr="001747D7">
        <w:rPr>
          <w:b/>
        </w:rPr>
        <w:t xml:space="preserve"> </w:t>
      </w:r>
      <w:r w:rsidRPr="001747D7">
        <w:t>U ×</w:t>
      </w:r>
      <w:r w:rsidRPr="001747D7">
        <w:rPr>
          <w:b/>
        </w:rPr>
        <w:t xml:space="preserve"> </w:t>
      </w:r>
      <w:proofErr w:type="spellStart"/>
      <w:r w:rsidRPr="001747D7">
        <w:t>k</w:t>
      </w:r>
      <w:r w:rsidRPr="001747D7">
        <w:rPr>
          <w:vertAlign w:val="subscript"/>
        </w:rPr>
        <w:t>pr</w:t>
      </w:r>
      <w:proofErr w:type="spellEnd"/>
      <w:r w:rsidRPr="001747D7">
        <w:t>) + (I</w:t>
      </w:r>
      <w:r w:rsidRPr="001747D7">
        <w:rPr>
          <w:vertAlign w:val="subscript"/>
        </w:rPr>
        <w:t>2</w:t>
      </w:r>
      <w:r w:rsidRPr="001747D7">
        <w:t xml:space="preserve"> ×</w:t>
      </w:r>
      <w:r w:rsidRPr="001747D7">
        <w:rPr>
          <w:b/>
        </w:rPr>
        <w:t xml:space="preserve"> </w:t>
      </w:r>
      <w:r w:rsidRPr="001747D7">
        <w:t>U ×</w:t>
      </w:r>
      <w:r w:rsidRPr="001747D7">
        <w:rPr>
          <w:b/>
        </w:rPr>
        <w:t xml:space="preserve"> </w:t>
      </w:r>
      <w:proofErr w:type="spellStart"/>
      <w:r w:rsidRPr="001747D7">
        <w:t>k</w:t>
      </w:r>
      <w:r w:rsidRPr="001747D7">
        <w:rPr>
          <w:vertAlign w:val="subscript"/>
        </w:rPr>
        <w:t>pr</w:t>
      </w:r>
      <w:proofErr w:type="spellEnd"/>
      <w:r w:rsidRPr="001747D7">
        <w:t xml:space="preserve">), </w:t>
      </w:r>
    </w:p>
    <w:p w14:paraId="555DE1AE" w14:textId="77777777" w:rsidR="00B04FCD" w:rsidRPr="001747D7" w:rsidRDefault="00B04FCD">
      <w:pPr>
        <w:tabs>
          <w:tab w:val="left" w:pos="851"/>
        </w:tabs>
        <w:ind w:firstLine="567"/>
        <w:jc w:val="both"/>
      </w:pPr>
    </w:p>
    <w:p w14:paraId="555DE1AF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>kur:</w:t>
      </w:r>
    </w:p>
    <w:p w14:paraId="555DE1B0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>I</w:t>
      </w:r>
      <w:r w:rsidRPr="001747D7">
        <w:rPr>
          <w:vertAlign w:val="subscript"/>
        </w:rPr>
        <w:t xml:space="preserve">1 </w:t>
      </w:r>
      <w:r w:rsidRPr="001747D7">
        <w:t>–</w:t>
      </w:r>
      <w:r w:rsidRPr="001747D7">
        <w:rPr>
          <w:vertAlign w:val="subscript"/>
        </w:rPr>
        <w:t xml:space="preserve"> </w:t>
      </w:r>
      <w:r w:rsidRPr="001747D7">
        <w:t>nuolatinių stebėjimų ir I</w:t>
      </w:r>
      <w:r w:rsidRPr="001747D7">
        <w:rPr>
          <w:vertAlign w:val="subscript"/>
        </w:rPr>
        <w:t xml:space="preserve">2 </w:t>
      </w:r>
      <w:r w:rsidRPr="001747D7">
        <w:t>– apžiūrų,  įskaitant jų privalomų dokumentų</w:t>
      </w:r>
      <w:r w:rsidRPr="001747D7">
        <w:t xml:space="preserve"> rengimą, pildymą ir saugojimą, metinės darbo laiko sąnaudos, išreikštos darbo valandomis. Skaičiuojant atsižvelgiama į reglamente [3.4] nurodytą nuolatinių stebėjimų ir apžiūrų dažnumą (metodikos 1 priedas);</w:t>
      </w:r>
    </w:p>
    <w:p w14:paraId="555DE1B1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 xml:space="preserve">U – statybos srities atitinkamo specialisto valandinis </w:t>
      </w:r>
      <w:r w:rsidRPr="001747D7">
        <w:rPr>
          <w:i/>
        </w:rPr>
        <w:t>bruto</w:t>
      </w:r>
      <w:r w:rsidRPr="001747D7">
        <w:t xml:space="preserve"> darbo užmokestis pagal savivaldybės duomenis arba vidutinis metinis valandinis darbo užmokestis (Lietuvos statistikos departamento interneto svetainės Oficialios statistikos portale </w:t>
      </w:r>
      <w:r w:rsidRPr="001747D7">
        <w:rPr>
          <w:u w:val="single"/>
        </w:rPr>
        <w:t>https://osp.s</w:t>
      </w:r>
      <w:r w:rsidRPr="001747D7">
        <w:rPr>
          <w:u w:val="single"/>
        </w:rPr>
        <w:t>tat.gov.lt/statistiniu-rodikliu-analize</w:t>
      </w:r>
      <w:r w:rsidRPr="001747D7">
        <w:t xml:space="preserve"> nurodytas vidutinis metinis darbo užmokestis (valandinis </w:t>
      </w:r>
      <w:r w:rsidRPr="001747D7">
        <w:rPr>
          <w:i/>
        </w:rPr>
        <w:t>bruto</w:t>
      </w:r>
      <w:r w:rsidRPr="001747D7">
        <w:t>), nustatomas pagal šiuos rodiklius: laikotarpį (metai), ekonominės veiklos rūšį (statyba), lytį, sektorių (šalies ūkis be individualių įmonių), užmokesči</w:t>
      </w:r>
      <w:r w:rsidRPr="001747D7">
        <w:t>o tipą (</w:t>
      </w:r>
      <w:r w:rsidRPr="001747D7">
        <w:rPr>
          <w:i/>
        </w:rPr>
        <w:t>bruto</w:t>
      </w:r>
      <w:r w:rsidRPr="001747D7">
        <w:t xml:space="preserve">)) ( </w:t>
      </w:r>
      <w:proofErr w:type="spellStart"/>
      <w:r w:rsidRPr="001747D7">
        <w:t>Eur</w:t>
      </w:r>
      <w:proofErr w:type="spellEnd"/>
      <w:r w:rsidRPr="001747D7">
        <w:t xml:space="preserve">); </w:t>
      </w:r>
    </w:p>
    <w:p w14:paraId="555DE1B2" w14:textId="77777777" w:rsidR="00B04FCD" w:rsidRPr="001747D7" w:rsidRDefault="001747D7">
      <w:pPr>
        <w:tabs>
          <w:tab w:val="left" w:pos="851"/>
        </w:tabs>
        <w:ind w:firstLine="567"/>
        <w:jc w:val="both"/>
      </w:pPr>
      <w:proofErr w:type="spellStart"/>
      <w:r w:rsidRPr="001747D7">
        <w:t>k</w:t>
      </w:r>
      <w:r w:rsidRPr="001747D7">
        <w:rPr>
          <w:vertAlign w:val="subscript"/>
        </w:rPr>
        <w:t>pr</w:t>
      </w:r>
      <w:proofErr w:type="spellEnd"/>
      <w:r w:rsidRPr="001747D7">
        <w:t xml:space="preserve"> – </w:t>
      </w:r>
      <w:r w:rsidRPr="001747D7">
        <w:rPr>
          <w:szCs w:val="24"/>
        </w:rPr>
        <w:t>socialinio draudimo, transporto, ūkio reikmėms tenkančių pridėtinių ir kitų netiesioginių išlaidų įvertinimo koeficientas</w:t>
      </w:r>
      <w:r w:rsidRPr="001747D7">
        <w:t xml:space="preserve"> (metodikos 2 priedo 3 punktas).</w:t>
      </w:r>
    </w:p>
    <w:p w14:paraId="555DE1B3" w14:textId="77777777" w:rsidR="00B04FCD" w:rsidRPr="001747D7" w:rsidRDefault="001747D7">
      <w:pPr>
        <w:tabs>
          <w:tab w:val="left" w:pos="993"/>
        </w:tabs>
        <w:ind w:firstLine="567"/>
        <w:jc w:val="both"/>
      </w:pPr>
      <w:r w:rsidRPr="001747D7">
        <w:t>9</w:t>
      </w:r>
      <w:r w:rsidRPr="001747D7">
        <w:t>. Savivaldybės vykdomoji institucija, vadovaudamasi metodika, pare</w:t>
      </w:r>
      <w:r w:rsidRPr="001747D7">
        <w:t>ngia</w:t>
      </w:r>
      <w:r w:rsidRPr="001747D7">
        <w:t xml:space="preserve"> </w:t>
      </w:r>
      <w:r w:rsidRPr="001747D7">
        <w:t>maksimalių tarifų skaičiavimo projektus namų grupėms ir teikia savivaldybės tarybai. Maksimalūs techninės priežiūros tarifai – namų grupėms savivaldybės tarybos pagal metodiką nustatyti didžiausi galimi techninės priežiūros mokėjimai. Skaičiuojant mak</w:t>
      </w:r>
      <w:r w:rsidRPr="001747D7">
        <w:t xml:space="preserve">simalius tarifus namų grupėms, atsižvelgiama į namo dydį ir techninės priežiūros ypatumus. Namo dydžio, išreikšto namo suminiu butų ir kitų patalpų naudinguoju plotu, įvertinimo koeficientas </w:t>
      </w:r>
      <w:proofErr w:type="spellStart"/>
      <w:r w:rsidRPr="001747D7">
        <w:t>k</w:t>
      </w:r>
      <w:r w:rsidRPr="001747D7">
        <w:rPr>
          <w:vertAlign w:val="subscript"/>
        </w:rPr>
        <w:t>d</w:t>
      </w:r>
      <w:proofErr w:type="spellEnd"/>
      <w:r w:rsidRPr="001747D7">
        <w:t xml:space="preserve"> ir techninės priežiūros ypatumų įvertinimo koeficientai </w:t>
      </w:r>
      <w:proofErr w:type="spellStart"/>
      <w:r w:rsidRPr="001747D7">
        <w:t>k</w:t>
      </w:r>
      <w:r w:rsidRPr="001747D7">
        <w:rPr>
          <w:vertAlign w:val="subscript"/>
        </w:rPr>
        <w:t>y</w:t>
      </w:r>
      <w:proofErr w:type="spellEnd"/>
      <w:r w:rsidRPr="001747D7">
        <w:rPr>
          <w:vertAlign w:val="subscript"/>
        </w:rPr>
        <w:t xml:space="preserve"> </w:t>
      </w:r>
      <w:r w:rsidRPr="001747D7">
        <w:t xml:space="preserve">ir </w:t>
      </w:r>
      <w:r w:rsidRPr="001747D7">
        <w:t xml:space="preserve">jų dydžiai nurodyti metodikos 2 priede. </w:t>
      </w:r>
    </w:p>
    <w:p w14:paraId="555DE1B4" w14:textId="77777777" w:rsidR="00B04FCD" w:rsidRPr="001747D7" w:rsidRDefault="001747D7">
      <w:pPr>
        <w:tabs>
          <w:tab w:val="left" w:pos="993"/>
        </w:tabs>
        <w:ind w:firstLine="567"/>
        <w:jc w:val="both"/>
      </w:pPr>
      <w:r w:rsidRPr="001747D7">
        <w:t>10</w:t>
      </w:r>
      <w:r w:rsidRPr="001747D7">
        <w:t>. Maksimalūs tarifai apskaičiuojami  pagal formulę:</w:t>
      </w:r>
    </w:p>
    <w:p w14:paraId="555DE1B5" w14:textId="77777777" w:rsidR="00B04FCD" w:rsidRPr="001747D7" w:rsidRDefault="00B04FCD">
      <w:pPr>
        <w:tabs>
          <w:tab w:val="left" w:pos="993"/>
        </w:tabs>
        <w:ind w:firstLine="567"/>
        <w:jc w:val="both"/>
      </w:pPr>
    </w:p>
    <w:p w14:paraId="555DE1B6" w14:textId="77777777" w:rsidR="00B04FCD" w:rsidRPr="001747D7" w:rsidRDefault="001747D7">
      <w:pPr>
        <w:tabs>
          <w:tab w:val="left" w:pos="993"/>
        </w:tabs>
        <w:ind w:firstLine="567"/>
        <w:jc w:val="both"/>
      </w:pPr>
      <w:proofErr w:type="spellStart"/>
      <w:r w:rsidRPr="001747D7">
        <w:t>T</w:t>
      </w:r>
      <w:r w:rsidRPr="001747D7">
        <w:rPr>
          <w:vertAlign w:val="subscript"/>
        </w:rPr>
        <w:t>max</w:t>
      </w:r>
      <w:proofErr w:type="spellEnd"/>
      <w:r w:rsidRPr="001747D7">
        <w:t xml:space="preserve"> = T × </w:t>
      </w:r>
      <w:proofErr w:type="spellStart"/>
      <w:r w:rsidRPr="001747D7">
        <w:t>k</w:t>
      </w:r>
      <w:r w:rsidRPr="001747D7">
        <w:rPr>
          <w:vertAlign w:val="subscript"/>
        </w:rPr>
        <w:t>d</w:t>
      </w:r>
      <w:proofErr w:type="spellEnd"/>
      <w:r w:rsidRPr="001747D7">
        <w:t xml:space="preserve"> × </w:t>
      </w:r>
      <w:proofErr w:type="spellStart"/>
      <w:r w:rsidRPr="001747D7">
        <w:t>k</w:t>
      </w:r>
      <w:r w:rsidRPr="001747D7">
        <w:rPr>
          <w:vertAlign w:val="subscript"/>
        </w:rPr>
        <w:t>y</w:t>
      </w:r>
      <w:proofErr w:type="spellEnd"/>
      <w:r w:rsidRPr="001747D7">
        <w:rPr>
          <w:vertAlign w:val="subscript"/>
        </w:rPr>
        <w:t xml:space="preserve"> </w:t>
      </w:r>
      <w:r w:rsidRPr="001747D7">
        <w:t>,</w:t>
      </w:r>
    </w:p>
    <w:p w14:paraId="555DE1B7" w14:textId="77777777" w:rsidR="00B04FCD" w:rsidRPr="001747D7" w:rsidRDefault="00B04FCD">
      <w:pPr>
        <w:tabs>
          <w:tab w:val="left" w:pos="993"/>
        </w:tabs>
        <w:ind w:firstLine="567"/>
        <w:jc w:val="both"/>
        <w:rPr>
          <w:lang w:val="en-US"/>
        </w:rPr>
      </w:pPr>
    </w:p>
    <w:p w14:paraId="555DE1B8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lastRenderedPageBreak/>
        <w:t>kur:</w:t>
      </w:r>
    </w:p>
    <w:p w14:paraId="555DE1B9" w14:textId="77777777" w:rsidR="00B04FCD" w:rsidRPr="001747D7" w:rsidRDefault="001747D7">
      <w:pPr>
        <w:tabs>
          <w:tab w:val="left" w:pos="851"/>
        </w:tabs>
        <w:ind w:firstLine="567"/>
        <w:jc w:val="both"/>
      </w:pPr>
      <w:proofErr w:type="spellStart"/>
      <w:r w:rsidRPr="001747D7">
        <w:t>T</w:t>
      </w:r>
      <w:r w:rsidRPr="001747D7">
        <w:rPr>
          <w:vertAlign w:val="subscript"/>
        </w:rPr>
        <w:t>max</w:t>
      </w:r>
      <w:proofErr w:type="spellEnd"/>
      <w:r w:rsidRPr="001747D7">
        <w:t xml:space="preserve"> – maksimalus tarifas, </w:t>
      </w:r>
      <w:proofErr w:type="spellStart"/>
      <w:r w:rsidRPr="001747D7">
        <w:t>Eur</w:t>
      </w:r>
      <w:proofErr w:type="spellEnd"/>
      <w:r w:rsidRPr="001747D7">
        <w:t>/m</w:t>
      </w:r>
      <w:r w:rsidRPr="001747D7">
        <w:rPr>
          <w:vertAlign w:val="superscript"/>
        </w:rPr>
        <w:t>2</w:t>
      </w:r>
      <w:r w:rsidRPr="001747D7">
        <w:t>/mėn. (nurodomas be PVM, atskirai nurodomas PVM dydis ir tarifas su PVM);</w:t>
      </w:r>
    </w:p>
    <w:p w14:paraId="555DE1BA" w14:textId="77777777" w:rsidR="00B04FCD" w:rsidRPr="001747D7" w:rsidRDefault="001747D7">
      <w:pPr>
        <w:tabs>
          <w:tab w:val="left" w:pos="851"/>
        </w:tabs>
        <w:ind w:firstLine="567"/>
        <w:jc w:val="both"/>
      </w:pPr>
      <w:r w:rsidRPr="001747D7">
        <w:t xml:space="preserve">T – vidutinio dydžio </w:t>
      </w:r>
      <w:r w:rsidRPr="001747D7">
        <w:t xml:space="preserve">namo tarifas, </w:t>
      </w:r>
      <w:proofErr w:type="spellStart"/>
      <w:r w:rsidRPr="001747D7">
        <w:t>Eur</w:t>
      </w:r>
      <w:proofErr w:type="spellEnd"/>
      <w:r w:rsidRPr="001747D7">
        <w:t>/m</w:t>
      </w:r>
      <w:r w:rsidRPr="001747D7">
        <w:rPr>
          <w:vertAlign w:val="superscript"/>
        </w:rPr>
        <w:t>2</w:t>
      </w:r>
      <w:r w:rsidRPr="001747D7">
        <w:t>/mėn.;</w:t>
      </w:r>
    </w:p>
    <w:p w14:paraId="555DE1BB" w14:textId="77777777" w:rsidR="00B04FCD" w:rsidRPr="001747D7" w:rsidRDefault="001747D7">
      <w:pPr>
        <w:tabs>
          <w:tab w:val="left" w:pos="993"/>
        </w:tabs>
        <w:ind w:firstLine="567"/>
        <w:jc w:val="both"/>
      </w:pPr>
      <w:proofErr w:type="spellStart"/>
      <w:r w:rsidRPr="001747D7">
        <w:t>k</w:t>
      </w:r>
      <w:r w:rsidRPr="001747D7">
        <w:rPr>
          <w:vertAlign w:val="subscript"/>
        </w:rPr>
        <w:t>d</w:t>
      </w:r>
      <w:proofErr w:type="spellEnd"/>
      <w:r w:rsidRPr="001747D7">
        <w:t xml:space="preserve"> ‒ namo dydžio, išreikšto </w:t>
      </w:r>
      <w:r w:rsidRPr="001747D7">
        <w:rPr>
          <w:szCs w:val="24"/>
        </w:rPr>
        <w:t>suminiu butų ir kitų patalpų naudinguoju plotu</w:t>
      </w:r>
      <w:r w:rsidRPr="001747D7">
        <w:t>, įvertinimo koeficientas (m</w:t>
      </w:r>
      <w:r w:rsidRPr="001747D7">
        <w:rPr>
          <w:szCs w:val="24"/>
        </w:rPr>
        <w:t xml:space="preserve">etodikos 2 priedo 1 punktas). Suminis namo butų ir kitų patalpų naudingasis plotas apskaičiuojamas vadovaujantis </w:t>
      </w:r>
      <w:r w:rsidRPr="001747D7">
        <w:t xml:space="preserve">Nekilnojamojo </w:t>
      </w:r>
      <w:r w:rsidRPr="001747D7">
        <w:t>turto kadastrinių matavimų ir kadastro duomenų surinkimo bei tikslinimo taisyklėmis [3.4];</w:t>
      </w:r>
    </w:p>
    <w:p w14:paraId="555DE1BC" w14:textId="77777777" w:rsidR="00B04FCD" w:rsidRPr="001747D7" w:rsidRDefault="001747D7">
      <w:pPr>
        <w:tabs>
          <w:tab w:val="left" w:pos="993"/>
        </w:tabs>
        <w:ind w:firstLine="567"/>
        <w:jc w:val="both"/>
        <w:rPr>
          <w:szCs w:val="24"/>
        </w:rPr>
      </w:pPr>
      <w:proofErr w:type="spellStart"/>
      <w:r w:rsidRPr="001747D7">
        <w:t>k</w:t>
      </w:r>
      <w:r w:rsidRPr="001747D7">
        <w:rPr>
          <w:vertAlign w:val="subscript"/>
        </w:rPr>
        <w:t>y</w:t>
      </w:r>
      <w:proofErr w:type="spellEnd"/>
      <w:r w:rsidRPr="001747D7">
        <w:rPr>
          <w:vertAlign w:val="subscript"/>
        </w:rPr>
        <w:t xml:space="preserve"> </w:t>
      </w:r>
      <w:r w:rsidRPr="001747D7">
        <w:t xml:space="preserve">– </w:t>
      </w:r>
      <w:r w:rsidRPr="001747D7">
        <w:rPr>
          <w:szCs w:val="24"/>
        </w:rPr>
        <w:t xml:space="preserve">namo techninės priežiūros ypatumų </w:t>
      </w:r>
      <w:r w:rsidRPr="001747D7">
        <w:t xml:space="preserve">įvertinimo koeficientai </w:t>
      </w:r>
      <w:r w:rsidRPr="001747D7">
        <w:rPr>
          <w:szCs w:val="24"/>
        </w:rPr>
        <w:t>(metodikos 2 priedo 2 punktas).</w:t>
      </w:r>
    </w:p>
    <w:p w14:paraId="555DE1BD" w14:textId="77777777" w:rsidR="00B04FCD" w:rsidRPr="001747D7" w:rsidRDefault="001747D7">
      <w:pPr>
        <w:tabs>
          <w:tab w:val="left" w:pos="993"/>
        </w:tabs>
        <w:ind w:firstLine="567"/>
        <w:jc w:val="both"/>
      </w:pPr>
      <w:r w:rsidRPr="001747D7">
        <w:t>11</w:t>
      </w:r>
      <w:r w:rsidRPr="001747D7">
        <w:t>. Savivaldybės vykdomoji institucija, įvertinusi techninės priež</w:t>
      </w:r>
      <w:r w:rsidRPr="001747D7">
        <w:t>iūros paslaugos įkainio pokytį, gali rengti maksimalių techninės priežiūros tarifų perskaičiavimo projektus ir per paskutinį metų ketvirtį pateikti juos savivaldybės tarybai. Patvirtinti maksimalūs tarifai skelbiami savivaldybės interneto svetainėje.</w:t>
      </w:r>
    </w:p>
    <w:p w14:paraId="555DE1BE" w14:textId="77777777" w:rsidR="00B04FCD" w:rsidRPr="001747D7" w:rsidRDefault="001747D7">
      <w:pPr>
        <w:tabs>
          <w:tab w:val="left" w:pos="993"/>
        </w:tabs>
        <w:ind w:firstLine="567"/>
        <w:jc w:val="center"/>
      </w:pPr>
    </w:p>
    <w:p w14:paraId="555DE1C0" w14:textId="39DBF130" w:rsidR="00B04FCD" w:rsidRPr="001747D7" w:rsidRDefault="001747D7" w:rsidP="001747D7">
      <w:pPr>
        <w:tabs>
          <w:tab w:val="left" w:pos="993"/>
        </w:tabs>
        <w:jc w:val="center"/>
        <w:rPr>
          <w:lang w:eastAsia="lt-LT"/>
        </w:rPr>
      </w:pPr>
      <w:r w:rsidRPr="001747D7">
        <w:t>_______________</w:t>
      </w:r>
    </w:p>
    <w:p w14:paraId="03213B45" w14:textId="77777777" w:rsidR="001747D7" w:rsidRPr="001747D7" w:rsidRDefault="001747D7">
      <w:pPr>
        <w:ind w:left="5954"/>
        <w:jc w:val="both"/>
        <w:sectPr w:rsidR="001747D7" w:rsidRPr="001747D7" w:rsidSect="001747D7">
          <w:footnotePr>
            <w:pos w:val="beneathText"/>
          </w:footnotePr>
          <w:pgSz w:w="11905" w:h="16837"/>
          <w:pgMar w:top="1418" w:right="708" w:bottom="1032" w:left="1701" w:header="851" w:footer="919" w:gutter="0"/>
          <w:pgNumType w:start="1"/>
          <w:cols w:space="1296"/>
          <w:formProt w:val="0"/>
          <w:titlePg/>
          <w:docGrid w:linePitch="360"/>
        </w:sectPr>
      </w:pPr>
    </w:p>
    <w:p w14:paraId="555DE1C1" w14:textId="0103A017" w:rsidR="00B04FCD" w:rsidRPr="001747D7" w:rsidRDefault="001747D7">
      <w:pPr>
        <w:ind w:left="5954"/>
        <w:jc w:val="both"/>
      </w:pPr>
      <w:r w:rsidRPr="001747D7">
        <w:lastRenderedPageBreak/>
        <w:t xml:space="preserve">Daugiabučių gyvenamųjų namų techninės priežiūros tarifo apskaičiavimo metodikos </w:t>
      </w:r>
    </w:p>
    <w:p w14:paraId="555DE1C2" w14:textId="77777777" w:rsidR="00B04FCD" w:rsidRPr="001747D7" w:rsidRDefault="001747D7">
      <w:pPr>
        <w:ind w:left="5954"/>
        <w:jc w:val="both"/>
      </w:pPr>
      <w:r w:rsidRPr="001747D7">
        <w:t>1</w:t>
      </w:r>
      <w:r w:rsidRPr="001747D7">
        <w:t xml:space="preserve"> priedas</w:t>
      </w:r>
    </w:p>
    <w:p w14:paraId="555DE1C3" w14:textId="77777777" w:rsidR="00B04FCD" w:rsidRPr="001747D7" w:rsidRDefault="00B04FCD">
      <w:pPr>
        <w:ind w:left="5954"/>
        <w:jc w:val="both"/>
      </w:pPr>
    </w:p>
    <w:p w14:paraId="555DE1C4" w14:textId="77777777" w:rsidR="00B04FCD" w:rsidRPr="001747D7" w:rsidRDefault="00B04FCD">
      <w:pPr>
        <w:jc w:val="center"/>
        <w:rPr>
          <w:b/>
        </w:rPr>
      </w:pPr>
    </w:p>
    <w:p w14:paraId="555DE1C5" w14:textId="77777777" w:rsidR="00B04FCD" w:rsidRPr="001747D7" w:rsidRDefault="001747D7">
      <w:pPr>
        <w:jc w:val="center"/>
        <w:rPr>
          <w:b/>
        </w:rPr>
      </w:pPr>
      <w:r w:rsidRPr="001747D7">
        <w:rPr>
          <w:b/>
        </w:rPr>
        <w:t xml:space="preserve">Į DAUGIABUČIO GYVENAMOJO NAMO TECHNINĖS PRIEŽIŪROS TARIFĄ ĮSKAIČIUOJAMŲ TECHNINĖS PRIEŽIŪROS DARBŲ </w:t>
      </w:r>
    </w:p>
    <w:p w14:paraId="555DE1C6" w14:textId="77777777" w:rsidR="00B04FCD" w:rsidRPr="001747D7" w:rsidRDefault="001747D7">
      <w:pPr>
        <w:jc w:val="center"/>
        <w:rPr>
          <w:b/>
        </w:rPr>
      </w:pPr>
      <w:r w:rsidRPr="001747D7">
        <w:rPr>
          <w:b/>
        </w:rPr>
        <w:t xml:space="preserve">METINĖS DARBO LAIKO SĄNAUDOS </w:t>
      </w:r>
    </w:p>
    <w:p w14:paraId="555DE1C7" w14:textId="77777777" w:rsidR="00B04FCD" w:rsidRPr="001747D7" w:rsidRDefault="00B04FCD">
      <w:pPr>
        <w:jc w:val="center"/>
        <w:rPr>
          <w:b/>
        </w:rPr>
      </w:pPr>
    </w:p>
    <w:p w14:paraId="555DE1C8" w14:textId="77777777" w:rsidR="00B04FCD" w:rsidRPr="001747D7" w:rsidRDefault="00B04FCD">
      <w:pPr>
        <w:jc w:val="center"/>
        <w:rPr>
          <w:b/>
        </w:rPr>
      </w:pPr>
    </w:p>
    <w:p w14:paraId="555DE1C9" w14:textId="77777777" w:rsidR="00B04FCD" w:rsidRPr="001747D7" w:rsidRDefault="001747D7">
      <w:pPr>
        <w:ind w:firstLine="567"/>
        <w:jc w:val="both"/>
        <w:rPr>
          <w:strike/>
        </w:rPr>
      </w:pPr>
      <w:r w:rsidRPr="001747D7">
        <w:t>Vidutinio dydžio 1500 m</w:t>
      </w:r>
      <w:r w:rsidRPr="001747D7">
        <w:rPr>
          <w:vertAlign w:val="superscript"/>
        </w:rPr>
        <w:t>2</w:t>
      </w:r>
      <w:r w:rsidRPr="001747D7">
        <w:t xml:space="preserve"> bendrojo ploto namo (toliau – pasirinktas namas) nuolatinių stebėjimų, apžiūrų, įskaitant nuolatinių stebėjimų ir apžiūrų privalomų dokumentų rengimą, pildymą ir saugojimą, metinės darbo laiko sąnaudos. </w:t>
      </w:r>
    </w:p>
    <w:p w14:paraId="555DE1CA" w14:textId="77777777" w:rsidR="00B04FCD" w:rsidRPr="001747D7" w:rsidRDefault="00B04FCD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766"/>
        <w:gridCol w:w="3390"/>
      </w:tblGrid>
      <w:tr w:rsidR="001747D7" w:rsidRPr="001747D7" w14:paraId="555DE1D4" w14:textId="77777777">
        <w:trPr>
          <w:trHeight w:val="15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CB" w14:textId="77777777" w:rsidR="00B04FCD" w:rsidRPr="001747D7" w:rsidRDefault="00B04FCD">
            <w:pPr>
              <w:jc w:val="center"/>
              <w:rPr>
                <w:szCs w:val="24"/>
              </w:rPr>
            </w:pPr>
          </w:p>
          <w:p w14:paraId="555DE1CC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Eil. Nr.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CD" w14:textId="77777777" w:rsidR="00B04FCD" w:rsidRPr="001747D7" w:rsidRDefault="00B04FCD">
            <w:pPr>
              <w:jc w:val="center"/>
              <w:rPr>
                <w:szCs w:val="24"/>
              </w:rPr>
            </w:pPr>
          </w:p>
          <w:p w14:paraId="555DE1CE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 xml:space="preserve">Techninės </w:t>
            </w:r>
            <w:r w:rsidRPr="001747D7">
              <w:rPr>
                <w:sz w:val="20"/>
              </w:rPr>
              <w:t>priežiūros darbų pavadinimas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CF" w14:textId="77777777" w:rsidR="00B04FCD" w:rsidRPr="001747D7" w:rsidRDefault="00B04FCD">
            <w:pPr>
              <w:jc w:val="center"/>
              <w:rPr>
                <w:szCs w:val="24"/>
              </w:rPr>
            </w:pPr>
          </w:p>
          <w:p w14:paraId="555DE1D0" w14:textId="77777777" w:rsidR="00B04FCD" w:rsidRPr="001747D7" w:rsidRDefault="001747D7">
            <w:pPr>
              <w:jc w:val="center"/>
              <w:rPr>
                <w:sz w:val="20"/>
              </w:rPr>
            </w:pPr>
            <w:r w:rsidRPr="001747D7">
              <w:rPr>
                <w:sz w:val="20"/>
              </w:rPr>
              <w:t>Metinės darbo laiko sąnaudos</w:t>
            </w:r>
          </w:p>
          <w:p w14:paraId="555DE1D1" w14:textId="77777777" w:rsidR="00B04FCD" w:rsidRPr="001747D7" w:rsidRDefault="001747D7">
            <w:pPr>
              <w:ind w:firstLine="53"/>
              <w:jc w:val="center"/>
              <w:rPr>
                <w:sz w:val="20"/>
              </w:rPr>
            </w:pPr>
            <w:r w:rsidRPr="001747D7">
              <w:rPr>
                <w:sz w:val="20"/>
              </w:rPr>
              <w:t>I</w:t>
            </w:r>
          </w:p>
          <w:p w14:paraId="555DE1D2" w14:textId="77777777" w:rsidR="00B04FCD" w:rsidRPr="001747D7" w:rsidRDefault="001747D7">
            <w:pPr>
              <w:jc w:val="center"/>
              <w:rPr>
                <w:sz w:val="20"/>
              </w:rPr>
            </w:pPr>
            <w:r w:rsidRPr="001747D7">
              <w:rPr>
                <w:sz w:val="20"/>
              </w:rPr>
              <w:t xml:space="preserve">(darbo valanda) </w:t>
            </w:r>
          </w:p>
          <w:p w14:paraId="555DE1D3" w14:textId="77777777" w:rsidR="00B04FCD" w:rsidRPr="001747D7" w:rsidRDefault="00B04FCD">
            <w:pPr>
              <w:jc w:val="center"/>
              <w:rPr>
                <w:szCs w:val="24"/>
              </w:rPr>
            </w:pPr>
          </w:p>
        </w:tc>
      </w:tr>
      <w:tr w:rsidR="001747D7" w:rsidRPr="001747D7" w14:paraId="555DE1D8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1D5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1D6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1D7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3</w:t>
            </w:r>
          </w:p>
        </w:tc>
      </w:tr>
      <w:tr w:rsidR="001747D7" w:rsidRPr="001747D7" w14:paraId="555DE1E4" w14:textId="77777777">
        <w:trPr>
          <w:trHeight w:val="16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1D9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DA" w14:textId="77777777" w:rsidR="00B04FCD" w:rsidRPr="001747D7" w:rsidRDefault="001747D7">
            <w:pPr>
              <w:jc w:val="both"/>
              <w:rPr>
                <w:szCs w:val="24"/>
              </w:rPr>
            </w:pPr>
            <w:r w:rsidRPr="001747D7">
              <w:rPr>
                <w:sz w:val="20"/>
              </w:rPr>
              <w:t xml:space="preserve">Nuolatiniai stebėjimai </w:t>
            </w:r>
          </w:p>
          <w:p w14:paraId="555DE1DB" w14:textId="77777777" w:rsidR="00B04FCD" w:rsidRPr="001747D7" w:rsidRDefault="00B04FCD">
            <w:pPr>
              <w:jc w:val="both"/>
              <w:rPr>
                <w:sz w:val="20"/>
              </w:rPr>
            </w:pPr>
          </w:p>
          <w:p w14:paraId="555DE1DC" w14:textId="77777777" w:rsidR="00B04FCD" w:rsidRPr="001747D7" w:rsidRDefault="001747D7">
            <w:pPr>
              <w:jc w:val="both"/>
              <w:rPr>
                <w:sz w:val="20"/>
              </w:rPr>
            </w:pPr>
            <w:r w:rsidRPr="001747D7">
              <w:rPr>
                <w:sz w:val="20"/>
              </w:rPr>
              <w:t xml:space="preserve">(nuolatinių stebėjimų vykdymas, privalomų dokumentų rengimas, pildymas ir saugojimas). </w:t>
            </w:r>
          </w:p>
          <w:p w14:paraId="555DE1DD" w14:textId="77777777" w:rsidR="00B04FCD" w:rsidRPr="001747D7" w:rsidRDefault="00B04FCD">
            <w:pPr>
              <w:jc w:val="both"/>
              <w:rPr>
                <w:sz w:val="20"/>
              </w:rPr>
            </w:pPr>
          </w:p>
          <w:p w14:paraId="555DE1DE" w14:textId="77777777" w:rsidR="00B04FCD" w:rsidRPr="001747D7" w:rsidRDefault="00B04FCD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DF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I</w:t>
            </w:r>
            <w:r w:rsidRPr="001747D7">
              <w:rPr>
                <w:sz w:val="20"/>
                <w:vertAlign w:val="subscript"/>
              </w:rPr>
              <w:t xml:space="preserve">1 </w:t>
            </w:r>
            <w:r w:rsidRPr="001747D7">
              <w:rPr>
                <w:sz w:val="20"/>
              </w:rPr>
              <w:t>= 4 × 6 = 24</w:t>
            </w:r>
          </w:p>
          <w:p w14:paraId="555DE1E0" w14:textId="77777777" w:rsidR="00B04FCD" w:rsidRPr="001747D7" w:rsidRDefault="00B04FCD">
            <w:pPr>
              <w:jc w:val="center"/>
              <w:rPr>
                <w:sz w:val="20"/>
              </w:rPr>
            </w:pPr>
          </w:p>
          <w:p w14:paraId="555DE1E1" w14:textId="77777777" w:rsidR="00B04FCD" w:rsidRPr="001747D7" w:rsidRDefault="001747D7">
            <w:pPr>
              <w:jc w:val="center"/>
              <w:rPr>
                <w:sz w:val="20"/>
              </w:rPr>
            </w:pPr>
            <w:r w:rsidRPr="001747D7">
              <w:rPr>
                <w:sz w:val="20"/>
              </w:rPr>
              <w:t xml:space="preserve">(atliekama 4 kartus po 6 darbo </w:t>
            </w:r>
            <w:r w:rsidRPr="001747D7">
              <w:rPr>
                <w:sz w:val="20"/>
              </w:rPr>
              <w:t>valandas)</w:t>
            </w:r>
          </w:p>
          <w:p w14:paraId="555DE1E2" w14:textId="77777777" w:rsidR="00B04FCD" w:rsidRPr="001747D7" w:rsidRDefault="00B04FCD">
            <w:pPr>
              <w:jc w:val="center"/>
              <w:rPr>
                <w:sz w:val="20"/>
              </w:rPr>
            </w:pPr>
          </w:p>
          <w:p w14:paraId="555DE1E3" w14:textId="77777777" w:rsidR="00B04FCD" w:rsidRPr="001747D7" w:rsidRDefault="00B04FCD">
            <w:pPr>
              <w:jc w:val="center"/>
              <w:rPr>
                <w:szCs w:val="24"/>
              </w:rPr>
            </w:pPr>
          </w:p>
        </w:tc>
      </w:tr>
      <w:tr w:rsidR="001747D7" w:rsidRPr="001747D7" w14:paraId="555DE1EE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1E5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E6" w14:textId="77777777" w:rsidR="00B04FCD" w:rsidRPr="001747D7" w:rsidRDefault="001747D7">
            <w:pPr>
              <w:jc w:val="both"/>
              <w:rPr>
                <w:szCs w:val="24"/>
              </w:rPr>
            </w:pPr>
            <w:r w:rsidRPr="001747D7">
              <w:rPr>
                <w:sz w:val="20"/>
              </w:rPr>
              <w:t>Apžiūros</w:t>
            </w:r>
          </w:p>
          <w:p w14:paraId="555DE1E7" w14:textId="77777777" w:rsidR="00B04FCD" w:rsidRPr="001747D7" w:rsidRDefault="00B04FCD">
            <w:pPr>
              <w:jc w:val="both"/>
              <w:rPr>
                <w:sz w:val="20"/>
              </w:rPr>
            </w:pPr>
          </w:p>
          <w:p w14:paraId="555DE1E8" w14:textId="77777777" w:rsidR="00B04FCD" w:rsidRPr="001747D7" w:rsidRDefault="001747D7">
            <w:pPr>
              <w:jc w:val="both"/>
              <w:rPr>
                <w:sz w:val="20"/>
              </w:rPr>
            </w:pPr>
            <w:r w:rsidRPr="001747D7">
              <w:rPr>
                <w:sz w:val="20"/>
              </w:rPr>
              <w:t>(apžiūrų organizavimas ir vykdymas, privalomų dokumentų rengimas, pildymas ir saugojimas).</w:t>
            </w:r>
          </w:p>
          <w:p w14:paraId="555DE1E9" w14:textId="77777777" w:rsidR="00B04FCD" w:rsidRPr="001747D7" w:rsidRDefault="00B04FCD">
            <w:pPr>
              <w:jc w:val="both"/>
              <w:rPr>
                <w:sz w:val="20"/>
              </w:rPr>
            </w:pPr>
          </w:p>
          <w:p w14:paraId="555DE1EA" w14:textId="77777777" w:rsidR="00B04FCD" w:rsidRPr="001747D7" w:rsidRDefault="00B04FCD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EB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I</w:t>
            </w:r>
            <w:r w:rsidRPr="001747D7">
              <w:rPr>
                <w:sz w:val="20"/>
                <w:vertAlign w:val="subscript"/>
              </w:rPr>
              <w:t xml:space="preserve">2 </w:t>
            </w:r>
            <w:r w:rsidRPr="001747D7">
              <w:rPr>
                <w:sz w:val="20"/>
              </w:rPr>
              <w:t>= 2 × 8 = 16</w:t>
            </w:r>
          </w:p>
          <w:p w14:paraId="555DE1EC" w14:textId="77777777" w:rsidR="00B04FCD" w:rsidRPr="001747D7" w:rsidRDefault="00B04FCD">
            <w:pPr>
              <w:jc w:val="center"/>
              <w:rPr>
                <w:sz w:val="20"/>
              </w:rPr>
            </w:pPr>
          </w:p>
          <w:p w14:paraId="555DE1ED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(atliekama 2 kartus po 8 darbo valandas)</w:t>
            </w:r>
          </w:p>
        </w:tc>
      </w:tr>
      <w:tr w:rsidR="00B04FCD" w:rsidRPr="001747D7" w14:paraId="555DE1F2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EF" w14:textId="77777777" w:rsidR="00B04FCD" w:rsidRPr="001747D7" w:rsidRDefault="00B04FCD">
            <w:pPr>
              <w:jc w:val="center"/>
              <w:rPr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1F0" w14:textId="77777777" w:rsidR="00B04FCD" w:rsidRPr="001747D7" w:rsidRDefault="001747D7">
            <w:pPr>
              <w:jc w:val="right"/>
              <w:rPr>
                <w:szCs w:val="24"/>
              </w:rPr>
            </w:pPr>
            <w:r w:rsidRPr="001747D7">
              <w:rPr>
                <w:sz w:val="20"/>
              </w:rPr>
              <w:t>Iš viso: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1F1" w14:textId="77777777" w:rsidR="00B04FCD" w:rsidRPr="001747D7" w:rsidRDefault="001747D7">
            <w:pPr>
              <w:jc w:val="center"/>
              <w:rPr>
                <w:szCs w:val="24"/>
              </w:rPr>
            </w:pPr>
            <w:r w:rsidRPr="001747D7">
              <w:rPr>
                <w:sz w:val="20"/>
              </w:rPr>
              <w:t>I = I</w:t>
            </w:r>
            <w:r w:rsidRPr="001747D7">
              <w:rPr>
                <w:sz w:val="20"/>
                <w:vertAlign w:val="subscript"/>
              </w:rPr>
              <w:t xml:space="preserve">1 </w:t>
            </w:r>
            <w:r w:rsidRPr="001747D7">
              <w:rPr>
                <w:sz w:val="20"/>
              </w:rPr>
              <w:t>+ I</w:t>
            </w:r>
            <w:r w:rsidRPr="001747D7">
              <w:rPr>
                <w:sz w:val="20"/>
                <w:vertAlign w:val="subscript"/>
              </w:rPr>
              <w:t xml:space="preserve">2 </w:t>
            </w:r>
            <w:r w:rsidRPr="001747D7">
              <w:rPr>
                <w:sz w:val="20"/>
              </w:rPr>
              <w:t>= 24 + 16 = 40</w:t>
            </w:r>
          </w:p>
        </w:tc>
      </w:tr>
    </w:tbl>
    <w:p w14:paraId="555DE1F3" w14:textId="77777777" w:rsidR="00B04FCD" w:rsidRPr="001747D7" w:rsidRDefault="00B04FCD">
      <w:pPr>
        <w:jc w:val="center"/>
      </w:pPr>
    </w:p>
    <w:p w14:paraId="555DE1F4" w14:textId="77777777" w:rsidR="00B04FCD" w:rsidRPr="001747D7" w:rsidRDefault="00B04FCD">
      <w:pPr>
        <w:jc w:val="center"/>
      </w:pPr>
    </w:p>
    <w:p w14:paraId="555DE1F7" w14:textId="08E57EFE" w:rsidR="00B04FCD" w:rsidRPr="001747D7" w:rsidRDefault="001747D7" w:rsidP="001747D7">
      <w:pPr>
        <w:jc w:val="center"/>
        <w:rPr>
          <w:lang w:eastAsia="lt-LT"/>
        </w:rPr>
      </w:pPr>
      <w:r w:rsidRPr="001747D7">
        <w:t>_________________</w:t>
      </w:r>
    </w:p>
    <w:p w14:paraId="1F973FD5" w14:textId="77777777" w:rsidR="001747D7" w:rsidRPr="001747D7" w:rsidRDefault="001747D7">
      <w:pPr>
        <w:ind w:left="5103"/>
        <w:sectPr w:rsidR="001747D7" w:rsidRPr="001747D7" w:rsidSect="001747D7">
          <w:footnotePr>
            <w:pos w:val="beneathText"/>
          </w:footnotePr>
          <w:pgSz w:w="11905" w:h="16837"/>
          <w:pgMar w:top="1418" w:right="708" w:bottom="1032" w:left="1701" w:header="851" w:footer="919" w:gutter="0"/>
          <w:pgNumType w:start="1"/>
          <w:cols w:space="1296"/>
          <w:formProt w:val="0"/>
          <w:titlePg/>
          <w:docGrid w:linePitch="360"/>
        </w:sectPr>
      </w:pPr>
    </w:p>
    <w:p w14:paraId="555DE1F8" w14:textId="73FF2E11" w:rsidR="00B04FCD" w:rsidRPr="001747D7" w:rsidRDefault="001747D7">
      <w:pPr>
        <w:ind w:left="5103"/>
        <w:rPr>
          <w:szCs w:val="24"/>
        </w:rPr>
      </w:pPr>
      <w:r w:rsidRPr="001747D7">
        <w:rPr>
          <w:szCs w:val="24"/>
        </w:rPr>
        <w:lastRenderedPageBreak/>
        <w:t xml:space="preserve">Daugiabučių </w:t>
      </w:r>
      <w:r w:rsidRPr="001747D7">
        <w:rPr>
          <w:szCs w:val="24"/>
        </w:rPr>
        <w:t>gyvenamųjų namų techninės</w:t>
      </w:r>
    </w:p>
    <w:p w14:paraId="555DE1F9" w14:textId="77777777" w:rsidR="00B04FCD" w:rsidRPr="001747D7" w:rsidRDefault="001747D7">
      <w:pPr>
        <w:ind w:left="5103"/>
        <w:rPr>
          <w:szCs w:val="24"/>
        </w:rPr>
      </w:pPr>
      <w:r w:rsidRPr="001747D7">
        <w:rPr>
          <w:szCs w:val="24"/>
        </w:rPr>
        <w:t>priežiūros tarifo apskaičiavimo metodikos</w:t>
      </w:r>
    </w:p>
    <w:p w14:paraId="555DE1FA" w14:textId="77777777" w:rsidR="00B04FCD" w:rsidRPr="001747D7" w:rsidRDefault="001747D7">
      <w:pPr>
        <w:ind w:left="5103"/>
        <w:rPr>
          <w:szCs w:val="24"/>
        </w:rPr>
      </w:pPr>
      <w:r w:rsidRPr="001747D7">
        <w:rPr>
          <w:szCs w:val="24"/>
        </w:rPr>
        <w:t>2</w:t>
      </w:r>
      <w:r w:rsidRPr="001747D7">
        <w:rPr>
          <w:szCs w:val="24"/>
        </w:rPr>
        <w:t xml:space="preserve"> priedas</w:t>
      </w:r>
    </w:p>
    <w:p w14:paraId="555DE1FB" w14:textId="77777777" w:rsidR="00B04FCD" w:rsidRPr="001747D7" w:rsidRDefault="00B04FCD">
      <w:pPr>
        <w:tabs>
          <w:tab w:val="left" w:pos="5353"/>
        </w:tabs>
        <w:ind w:left="5103"/>
        <w:rPr>
          <w:szCs w:val="24"/>
        </w:rPr>
      </w:pPr>
    </w:p>
    <w:p w14:paraId="555DE1FC" w14:textId="77777777" w:rsidR="00B04FCD" w:rsidRPr="001747D7" w:rsidRDefault="001747D7">
      <w:pPr>
        <w:jc w:val="center"/>
        <w:rPr>
          <w:b/>
          <w:szCs w:val="24"/>
        </w:rPr>
      </w:pPr>
      <w:r w:rsidRPr="001747D7">
        <w:rPr>
          <w:b/>
          <w:szCs w:val="24"/>
        </w:rPr>
        <w:t xml:space="preserve">DAUGIABUČIO GYVENAMOJO NAMO TECHNINĖS PRIEŽIŪROS TARIFO SKAIČIAVIMUI TAIKOMI KOEFICIENTAI  </w:t>
      </w:r>
    </w:p>
    <w:p w14:paraId="555DE1FD" w14:textId="77777777" w:rsidR="00B04FCD" w:rsidRPr="001747D7" w:rsidRDefault="00B04FCD">
      <w:pPr>
        <w:rPr>
          <w:szCs w:val="24"/>
        </w:rPr>
      </w:pPr>
    </w:p>
    <w:p w14:paraId="555DE1FE" w14:textId="77777777" w:rsidR="00B04FCD" w:rsidRPr="001747D7" w:rsidRDefault="001747D7">
      <w:pPr>
        <w:ind w:firstLine="284"/>
        <w:jc w:val="both"/>
        <w:rPr>
          <w:szCs w:val="24"/>
        </w:rPr>
      </w:pPr>
      <w:r w:rsidRPr="001747D7">
        <w:rPr>
          <w:szCs w:val="24"/>
        </w:rPr>
        <w:t>1</w:t>
      </w:r>
      <w:r w:rsidRPr="001747D7">
        <w:rPr>
          <w:szCs w:val="24"/>
        </w:rPr>
        <w:t>.</w:t>
      </w:r>
      <w:r w:rsidRPr="001747D7">
        <w:rPr>
          <w:b/>
          <w:szCs w:val="24"/>
        </w:rPr>
        <w:t xml:space="preserve"> </w:t>
      </w:r>
      <w:proofErr w:type="spellStart"/>
      <w:r w:rsidRPr="001747D7">
        <w:rPr>
          <w:szCs w:val="24"/>
        </w:rPr>
        <w:t>k</w:t>
      </w:r>
      <w:r w:rsidRPr="001747D7">
        <w:rPr>
          <w:szCs w:val="24"/>
          <w:vertAlign w:val="subscript"/>
        </w:rPr>
        <w:t>d</w:t>
      </w:r>
      <w:proofErr w:type="spellEnd"/>
      <w:r w:rsidRPr="001747D7">
        <w:rPr>
          <w:szCs w:val="24"/>
        </w:rPr>
        <w:t xml:space="preserve"> ‒ daugiabučio gyvenamojo namo (toliau – namas) dydžio, išreikšto namo su</w:t>
      </w:r>
      <w:r w:rsidRPr="001747D7">
        <w:rPr>
          <w:szCs w:val="24"/>
        </w:rPr>
        <w:t xml:space="preserve">miniu butų ir kitų patalpų naudinguoju plotu, įvertinimo koeficientas </w:t>
      </w:r>
    </w:p>
    <w:p w14:paraId="555DE1FF" w14:textId="77777777" w:rsidR="00B04FCD" w:rsidRPr="001747D7" w:rsidRDefault="00B04FCD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6"/>
        <w:gridCol w:w="7208"/>
        <w:gridCol w:w="1840"/>
      </w:tblGrid>
      <w:tr w:rsidR="001747D7" w:rsidRPr="001747D7" w14:paraId="555DE207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00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Eil.</w:t>
            </w:r>
          </w:p>
          <w:p w14:paraId="555DE201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Nr.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02" w14:textId="77777777" w:rsidR="00B04FCD" w:rsidRPr="001747D7" w:rsidRDefault="00B04FCD">
            <w:pPr>
              <w:jc w:val="center"/>
              <w:rPr>
                <w:rFonts w:eastAsia="Calibri"/>
                <w:szCs w:val="24"/>
              </w:rPr>
            </w:pPr>
          </w:p>
          <w:p w14:paraId="555DE203" w14:textId="77777777" w:rsidR="00B04FCD" w:rsidRPr="001747D7" w:rsidRDefault="001747D7">
            <w:pPr>
              <w:jc w:val="center"/>
              <w:rPr>
                <w:szCs w:val="24"/>
                <w:vertAlign w:val="superscript"/>
              </w:rPr>
            </w:pPr>
            <w:r w:rsidRPr="001747D7">
              <w:rPr>
                <w:szCs w:val="24"/>
              </w:rPr>
              <w:t>Namo dydis, m</w:t>
            </w:r>
            <w:r w:rsidRPr="001747D7">
              <w:rPr>
                <w:szCs w:val="24"/>
                <w:vertAlign w:val="superscript"/>
              </w:rPr>
              <w:t>2</w:t>
            </w:r>
          </w:p>
          <w:p w14:paraId="555DE204" w14:textId="77777777" w:rsidR="00B04FCD" w:rsidRPr="001747D7" w:rsidRDefault="00B04FC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05" w14:textId="77777777" w:rsidR="00B04FCD" w:rsidRPr="001747D7" w:rsidRDefault="00B04FCD">
            <w:pPr>
              <w:jc w:val="center"/>
              <w:rPr>
                <w:rFonts w:eastAsia="Calibri"/>
                <w:szCs w:val="24"/>
              </w:rPr>
            </w:pPr>
          </w:p>
          <w:p w14:paraId="555DE206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 xml:space="preserve">Koeficientas </w:t>
            </w:r>
            <w:proofErr w:type="spellStart"/>
            <w:r w:rsidRPr="001747D7">
              <w:rPr>
                <w:szCs w:val="24"/>
              </w:rPr>
              <w:t>k</w:t>
            </w:r>
            <w:r w:rsidRPr="001747D7">
              <w:rPr>
                <w:szCs w:val="24"/>
                <w:vertAlign w:val="subscript"/>
              </w:rPr>
              <w:t>d</w:t>
            </w:r>
            <w:proofErr w:type="spellEnd"/>
            <w:r w:rsidRPr="001747D7">
              <w:rPr>
                <w:szCs w:val="24"/>
              </w:rPr>
              <w:t xml:space="preserve"> </w:t>
            </w:r>
          </w:p>
        </w:tc>
      </w:tr>
      <w:tr w:rsidR="001747D7" w:rsidRPr="001747D7" w14:paraId="555DE20B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08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09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0A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3</w:t>
            </w:r>
          </w:p>
        </w:tc>
      </w:tr>
      <w:tr w:rsidR="001747D7" w:rsidRPr="001747D7" w14:paraId="555DE20F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0C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0D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Iki 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0E" w14:textId="77777777" w:rsidR="00B04FCD" w:rsidRPr="001747D7" w:rsidRDefault="001747D7">
            <w:pPr>
              <w:jc w:val="center"/>
              <w:rPr>
                <w:rFonts w:eastAsia="Calibri"/>
                <w:strike/>
                <w:szCs w:val="24"/>
              </w:rPr>
            </w:pPr>
            <w:r w:rsidRPr="001747D7">
              <w:rPr>
                <w:szCs w:val="24"/>
              </w:rPr>
              <w:t>0,85</w:t>
            </w:r>
          </w:p>
        </w:tc>
      </w:tr>
      <w:tr w:rsidR="001747D7" w:rsidRPr="001747D7" w14:paraId="555DE213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0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1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1001–2000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2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1,00</w:t>
            </w:r>
          </w:p>
        </w:tc>
      </w:tr>
      <w:tr w:rsidR="001747D7" w:rsidRPr="001747D7" w14:paraId="555DE217" w14:textId="77777777">
        <w:trPr>
          <w:trHeight w:val="3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4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5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2001–5000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6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1,15</w:t>
            </w:r>
          </w:p>
        </w:tc>
      </w:tr>
      <w:tr w:rsidR="001747D7" w:rsidRPr="001747D7" w14:paraId="555DE21B" w14:textId="77777777">
        <w:trPr>
          <w:trHeight w:val="3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8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9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Daugiau kaip 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1A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1,2</w:t>
            </w:r>
          </w:p>
        </w:tc>
      </w:tr>
    </w:tbl>
    <w:p w14:paraId="555DE21C" w14:textId="77777777" w:rsidR="00B04FCD" w:rsidRPr="001747D7" w:rsidRDefault="001747D7">
      <w:pPr>
        <w:jc w:val="both"/>
        <w:rPr>
          <w:rFonts w:eastAsia="Calibri"/>
          <w:szCs w:val="24"/>
        </w:rPr>
      </w:pPr>
    </w:p>
    <w:p w14:paraId="555DE21D" w14:textId="77777777" w:rsidR="00B04FCD" w:rsidRPr="001747D7" w:rsidRDefault="001747D7">
      <w:pPr>
        <w:ind w:firstLine="284"/>
        <w:jc w:val="both"/>
        <w:rPr>
          <w:szCs w:val="24"/>
        </w:rPr>
      </w:pPr>
      <w:r w:rsidRPr="001747D7">
        <w:rPr>
          <w:szCs w:val="24"/>
        </w:rPr>
        <w:t>2</w:t>
      </w:r>
      <w:r w:rsidRPr="001747D7">
        <w:rPr>
          <w:szCs w:val="24"/>
        </w:rPr>
        <w:t>.</w:t>
      </w:r>
      <w:r w:rsidRPr="001747D7">
        <w:rPr>
          <w:b/>
          <w:szCs w:val="24"/>
        </w:rPr>
        <w:t xml:space="preserve"> </w:t>
      </w:r>
      <w:proofErr w:type="spellStart"/>
      <w:r w:rsidRPr="001747D7">
        <w:rPr>
          <w:szCs w:val="24"/>
        </w:rPr>
        <w:t>k</w:t>
      </w:r>
      <w:r w:rsidRPr="001747D7">
        <w:rPr>
          <w:szCs w:val="24"/>
          <w:vertAlign w:val="subscript"/>
        </w:rPr>
        <w:t>y</w:t>
      </w:r>
      <w:proofErr w:type="spellEnd"/>
      <w:r w:rsidRPr="001747D7">
        <w:rPr>
          <w:szCs w:val="24"/>
          <w:vertAlign w:val="subscript"/>
        </w:rPr>
        <w:t xml:space="preserve"> </w:t>
      </w:r>
      <w:r w:rsidRPr="001747D7">
        <w:rPr>
          <w:szCs w:val="24"/>
        </w:rPr>
        <w:t xml:space="preserve">– namo techninės priežiūros ypatumų įvertinimo koeficientai </w:t>
      </w:r>
    </w:p>
    <w:p w14:paraId="555DE21E" w14:textId="77777777" w:rsidR="00B04FCD" w:rsidRPr="001747D7" w:rsidRDefault="00B04FCD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6"/>
        <w:gridCol w:w="7188"/>
        <w:gridCol w:w="1860"/>
      </w:tblGrid>
      <w:tr w:rsidR="001747D7" w:rsidRPr="001747D7" w14:paraId="555DE227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1F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  <w:p w14:paraId="555DE220" w14:textId="77777777" w:rsidR="00B04FCD" w:rsidRPr="001747D7" w:rsidRDefault="001747D7">
            <w:pPr>
              <w:jc w:val="both"/>
              <w:rPr>
                <w:szCs w:val="24"/>
              </w:rPr>
            </w:pPr>
            <w:r w:rsidRPr="001747D7">
              <w:rPr>
                <w:szCs w:val="24"/>
              </w:rPr>
              <w:t>Eil.</w:t>
            </w:r>
          </w:p>
          <w:p w14:paraId="555DE221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Nr.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22" w14:textId="77777777" w:rsidR="00B04FCD" w:rsidRPr="001747D7" w:rsidRDefault="00B04FCD">
            <w:pPr>
              <w:jc w:val="center"/>
              <w:rPr>
                <w:rFonts w:eastAsia="Calibri"/>
                <w:szCs w:val="24"/>
              </w:rPr>
            </w:pPr>
          </w:p>
          <w:p w14:paraId="555DE223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Namo ypatumai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24" w14:textId="77777777" w:rsidR="00B04FCD" w:rsidRPr="001747D7" w:rsidRDefault="00B04FCD">
            <w:pPr>
              <w:jc w:val="center"/>
              <w:rPr>
                <w:rFonts w:eastAsia="Calibri"/>
                <w:szCs w:val="24"/>
              </w:rPr>
            </w:pPr>
          </w:p>
          <w:p w14:paraId="555DE225" w14:textId="77777777" w:rsidR="00B04FCD" w:rsidRPr="001747D7" w:rsidRDefault="001747D7">
            <w:pPr>
              <w:jc w:val="center"/>
              <w:rPr>
                <w:b/>
                <w:szCs w:val="24"/>
              </w:rPr>
            </w:pPr>
            <w:r w:rsidRPr="001747D7">
              <w:rPr>
                <w:szCs w:val="24"/>
              </w:rPr>
              <w:t xml:space="preserve">Koeficientas </w:t>
            </w:r>
            <w:proofErr w:type="spellStart"/>
            <w:r w:rsidRPr="001747D7">
              <w:rPr>
                <w:szCs w:val="24"/>
              </w:rPr>
              <w:t>k</w:t>
            </w:r>
            <w:r w:rsidRPr="001747D7">
              <w:rPr>
                <w:szCs w:val="24"/>
                <w:vertAlign w:val="subscript"/>
              </w:rPr>
              <w:t>y</w:t>
            </w:r>
            <w:proofErr w:type="spellEnd"/>
            <w:r w:rsidRPr="001747D7">
              <w:rPr>
                <w:szCs w:val="24"/>
              </w:rPr>
              <w:t xml:space="preserve"> </w:t>
            </w:r>
          </w:p>
          <w:p w14:paraId="555DE226" w14:textId="77777777" w:rsidR="00B04FCD" w:rsidRPr="001747D7" w:rsidRDefault="00B04FCD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1747D7" w:rsidRPr="001747D7" w14:paraId="555DE22B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28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29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2A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3</w:t>
            </w:r>
          </w:p>
        </w:tc>
      </w:tr>
      <w:tr w:rsidR="001747D7" w:rsidRPr="001747D7" w14:paraId="555DE230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2C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2D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Namai, kuriuose neįrengta bendroji geriamojo vandens tiekimo inžinerinė sistema</w:t>
            </w:r>
          </w:p>
          <w:p w14:paraId="555DE22E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2F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0,97</w:t>
            </w:r>
          </w:p>
        </w:tc>
      </w:tr>
      <w:tr w:rsidR="001747D7" w:rsidRPr="001747D7" w14:paraId="555DE235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31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32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 xml:space="preserve">Namai, kuriuose neįrengta bendroji nuotekų </w:t>
            </w:r>
            <w:r w:rsidRPr="001747D7">
              <w:rPr>
                <w:szCs w:val="24"/>
              </w:rPr>
              <w:t>šalinimo inžinerinė sistema</w:t>
            </w:r>
          </w:p>
          <w:p w14:paraId="555DE233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34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0,97</w:t>
            </w:r>
          </w:p>
        </w:tc>
      </w:tr>
      <w:tr w:rsidR="001747D7" w:rsidRPr="001747D7" w14:paraId="555DE23A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36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37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Namai, kuriuose neįrengta bendroji elektros inžinerinė sistema</w:t>
            </w:r>
          </w:p>
          <w:p w14:paraId="555DE238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39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0,98</w:t>
            </w:r>
          </w:p>
        </w:tc>
      </w:tr>
      <w:tr w:rsidR="001747D7" w:rsidRPr="001747D7" w14:paraId="555DE23F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3B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3C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Namai, kuriuose nėra bendrojo naudojimo patalpų</w:t>
            </w:r>
          </w:p>
          <w:p w14:paraId="555DE23D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3E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0,98</w:t>
            </w:r>
          </w:p>
        </w:tc>
      </w:tr>
      <w:tr w:rsidR="001747D7" w:rsidRPr="001747D7" w14:paraId="555DE244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40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41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Namai be išskirtinių techninės priežiūros ypatumų</w:t>
            </w:r>
          </w:p>
          <w:p w14:paraId="555DE242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43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1,00</w:t>
            </w:r>
          </w:p>
        </w:tc>
      </w:tr>
      <w:tr w:rsidR="001747D7" w:rsidRPr="001747D7" w14:paraId="555DE249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45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6.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46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 xml:space="preserve">Namai, kuriuose įrengta </w:t>
            </w:r>
            <w:r w:rsidRPr="001747D7">
              <w:rPr>
                <w:szCs w:val="24"/>
              </w:rPr>
              <w:t>bendroji saugos ir ryšių sistema</w:t>
            </w:r>
          </w:p>
          <w:p w14:paraId="555DE247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48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1,01</w:t>
            </w:r>
          </w:p>
        </w:tc>
      </w:tr>
      <w:tr w:rsidR="001747D7" w:rsidRPr="001747D7" w14:paraId="555DE24E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4A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7.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4B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Namai, kurių stogas – šlaitinis</w:t>
            </w:r>
          </w:p>
          <w:p w14:paraId="555DE24C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4D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1,15</w:t>
            </w:r>
          </w:p>
        </w:tc>
      </w:tr>
      <w:tr w:rsidR="001747D7" w:rsidRPr="001747D7" w14:paraId="555DE253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4F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8.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250" w14:textId="77777777" w:rsidR="00B04FCD" w:rsidRPr="001747D7" w:rsidRDefault="001747D7">
            <w:pPr>
              <w:jc w:val="both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Bendrabučio tipo namai</w:t>
            </w:r>
          </w:p>
          <w:p w14:paraId="555DE251" w14:textId="77777777" w:rsidR="00B04FCD" w:rsidRPr="001747D7" w:rsidRDefault="00B04FC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252" w14:textId="77777777" w:rsidR="00B04FCD" w:rsidRPr="001747D7" w:rsidRDefault="001747D7">
            <w:pPr>
              <w:jc w:val="center"/>
              <w:rPr>
                <w:rFonts w:eastAsia="Calibri"/>
                <w:szCs w:val="24"/>
              </w:rPr>
            </w:pPr>
            <w:r w:rsidRPr="001747D7">
              <w:rPr>
                <w:szCs w:val="24"/>
              </w:rPr>
              <w:t>1,15</w:t>
            </w:r>
          </w:p>
        </w:tc>
      </w:tr>
    </w:tbl>
    <w:p w14:paraId="555DE254" w14:textId="77777777" w:rsidR="00B04FCD" w:rsidRPr="001747D7" w:rsidRDefault="001747D7">
      <w:pPr>
        <w:ind w:firstLine="720"/>
        <w:jc w:val="both"/>
        <w:rPr>
          <w:rFonts w:eastAsia="Calibri"/>
          <w:szCs w:val="24"/>
        </w:rPr>
      </w:pPr>
    </w:p>
    <w:p w14:paraId="555DE255" w14:textId="77777777" w:rsidR="00B04FCD" w:rsidRPr="001747D7" w:rsidRDefault="001747D7">
      <w:pPr>
        <w:ind w:firstLine="284"/>
        <w:jc w:val="both"/>
        <w:rPr>
          <w:szCs w:val="24"/>
        </w:rPr>
      </w:pPr>
      <w:r w:rsidRPr="001747D7">
        <w:rPr>
          <w:szCs w:val="24"/>
        </w:rPr>
        <w:t>3</w:t>
      </w:r>
      <w:r w:rsidRPr="001747D7">
        <w:rPr>
          <w:szCs w:val="24"/>
        </w:rPr>
        <w:t xml:space="preserve">. </w:t>
      </w:r>
      <w:proofErr w:type="spellStart"/>
      <w:r w:rsidRPr="001747D7">
        <w:rPr>
          <w:szCs w:val="24"/>
        </w:rPr>
        <w:t>k</w:t>
      </w:r>
      <w:r w:rsidRPr="001747D7">
        <w:rPr>
          <w:szCs w:val="24"/>
          <w:vertAlign w:val="subscript"/>
        </w:rPr>
        <w:t>pr</w:t>
      </w:r>
      <w:proofErr w:type="spellEnd"/>
      <w:r w:rsidRPr="001747D7">
        <w:rPr>
          <w:szCs w:val="24"/>
        </w:rPr>
        <w:t xml:space="preserve"> – socialinio draudimo, transporto, ūkio reikmėms tenkančių pridėtinių ir kitų netiesioginių išlaidų įvertinimo koeficientas – 1,35. </w:t>
      </w:r>
    </w:p>
    <w:p w14:paraId="555DE258" w14:textId="2472D920" w:rsidR="00B04FCD" w:rsidRPr="001747D7" w:rsidRDefault="001747D7" w:rsidP="001747D7">
      <w:pPr>
        <w:jc w:val="center"/>
        <w:rPr>
          <w:lang w:eastAsia="lt-LT"/>
        </w:rPr>
      </w:pPr>
      <w:r w:rsidRPr="001747D7">
        <w:rPr>
          <w:szCs w:val="24"/>
        </w:rPr>
        <w:t>__________</w:t>
      </w:r>
      <w:bookmarkStart w:id="0" w:name="_GoBack"/>
      <w:bookmarkEnd w:id="0"/>
      <w:r w:rsidRPr="001747D7">
        <w:rPr>
          <w:szCs w:val="24"/>
        </w:rPr>
        <w:t>______</w:t>
      </w:r>
    </w:p>
    <w:sectPr w:rsidR="00B04FCD" w:rsidRPr="001747D7" w:rsidSect="001747D7">
      <w:footnotePr>
        <w:pos w:val="beneathText"/>
      </w:footnotePr>
      <w:pgSz w:w="11905" w:h="16837"/>
      <w:pgMar w:top="1418" w:right="708" w:bottom="1032" w:left="1701" w:header="851" w:footer="919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E25D" w14:textId="77777777" w:rsidR="00B04FCD" w:rsidRDefault="001747D7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55DE25E" w14:textId="77777777" w:rsidR="00B04FCD" w:rsidRDefault="001747D7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5A847" w14:textId="77777777" w:rsidR="001747D7" w:rsidRDefault="001747D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FEE6" w14:textId="77777777" w:rsidR="001747D7" w:rsidRDefault="001747D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2CC2" w14:textId="77777777" w:rsidR="001747D7" w:rsidRDefault="001747D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DE25B" w14:textId="77777777" w:rsidR="00B04FCD" w:rsidRDefault="001747D7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55DE25C" w14:textId="77777777" w:rsidR="00B04FCD" w:rsidRDefault="001747D7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765C4" w14:textId="77777777" w:rsidR="001747D7" w:rsidRDefault="001747D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1952"/>
      <w:docPartObj>
        <w:docPartGallery w:val="Page Numbers (Top of Page)"/>
        <w:docPartUnique/>
      </w:docPartObj>
    </w:sdtPr>
    <w:sdtContent>
      <w:p w14:paraId="453001DE" w14:textId="542FCE30" w:rsidR="001747D7" w:rsidRDefault="001747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55DE25F" w14:textId="77777777" w:rsidR="00B04FCD" w:rsidRDefault="00B04FCD">
    <w:pPr>
      <w:tabs>
        <w:tab w:val="center" w:pos="4153"/>
        <w:tab w:val="right" w:pos="9100"/>
      </w:tabs>
      <w:suppressAutoHyphens/>
      <w:jc w:val="center"/>
      <w:rPr>
        <w:rFonts w:ascii="Tahoma" w:hAnsi="Tahoma"/>
        <w:spacing w:val="10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E260" w14:textId="77777777" w:rsidR="00B04FCD" w:rsidRPr="001747D7" w:rsidRDefault="00B04FCD" w:rsidP="001747D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1"/>
    <w:rsid w:val="001747D7"/>
    <w:rsid w:val="002B3C21"/>
    <w:rsid w:val="00B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5D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747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7D7"/>
  </w:style>
  <w:style w:type="paragraph" w:styleId="Porat">
    <w:name w:val="footer"/>
    <w:basedOn w:val="prastasis"/>
    <w:link w:val="PoratDiagrama"/>
    <w:rsid w:val="001747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747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7D7"/>
  </w:style>
  <w:style w:type="paragraph" w:styleId="Porat">
    <w:name w:val="footer"/>
    <w:basedOn w:val="prastasis"/>
    <w:link w:val="PoratDiagrama"/>
    <w:rsid w:val="001747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5941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2018-05-07T13:33:00Z</dcterms:created>
  <dcterms:modified xsi:type="dcterms:W3CDTF">2018-05-07T13:41:00Z</dcterms:modified>
  <revision>1</revision>
</coreProperties>
</file>