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bead10e75b344b4bab3c779092b344b"/>
        <w:lock w:val="sdtLocked"/>
        <w:richText/>
      </w:sdtPr>
      <w:sdtContent>
        <w:p>
          <w:pPr>
            <w:keepNext/>
            <w:jc w:val="center"/>
            <w:outlineLvl w:val="1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3pt;height:41.3pt" o:ole="" fillcolor="window">
                <v:imagedata r:id="rId5" o:title=""/>
              </v:shape>
              <o:OLEObject Type="Embed" ProgID="CorelDraw.Graphic.8" ShapeID="_x0000_i1025" DrawAspect="Content" ObjectID="_1573304349" r:id="rId6"/>
            </w:object>
          </w:r>
        </w:p>
        <w:p>
          <w:pPr>
            <w:keepNext/>
            <w:jc w:val="center"/>
            <w:outlineLvl w:val="1"/>
            <w:rPr>
              <w:b/>
            </w:rPr>
          </w:pPr>
        </w:p>
        <w:p>
          <w:pPr>
            <w:keepNext/>
            <w:jc w:val="center"/>
            <w:outlineLvl w:val="1"/>
            <w:rPr>
              <w:b/>
            </w:rPr>
          </w:pPr>
          <w:r>
            <w:rPr>
              <w:b/>
            </w:rPr>
            <w:t>RADVILIŠKIO RAJONO SAVIVALDYBĖS TARYBA</w:t>
          </w:r>
        </w:p>
        <w:p>
          <w:pPr>
            <w:jc w:val="center"/>
            <w:rPr>
              <w:b/>
              <w:bCs/>
            </w:rPr>
          </w:pPr>
        </w:p>
        <w:p>
          <w:pPr>
            <w:ind w:firstLine="720"/>
            <w:jc w:val="both"/>
            <w:rPr>
              <w:b/>
              <w:color w:val="FF0000"/>
              <w:sz w:val="20"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>
          <w:pPr>
            <w:tabs>
              <w:tab w:val="left" w:pos="360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bCs/>
              <w:szCs w:val="24"/>
            </w:rPr>
            <w:t>RADVILIŠKIO RAJONO SAVIVALDYBĖS ŠEDUVOS MIESTO BENDROJO PLANO KEITIMO</w:t>
          </w:r>
          <w:r>
            <w:rPr>
              <w:b/>
              <w:szCs w:val="24"/>
            </w:rPr>
            <w:t xml:space="preserve">  PATVIRTINIMO</w:t>
          </w:r>
        </w:p>
        <w:p>
          <w:pPr>
            <w:tabs>
              <w:tab w:val="left" w:pos="360"/>
            </w:tabs>
            <w:jc w:val="center"/>
            <w:rPr>
              <w:szCs w:val="24"/>
            </w:rPr>
          </w:pPr>
        </w:p>
        <w:p>
          <w:pPr>
            <w:tabs>
              <w:tab w:val="left" w:pos="36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2017 m.  lapkričio 23 d. Nr. T-714</w:t>
          </w:r>
        </w:p>
        <w:p>
          <w:pPr>
            <w:tabs>
              <w:tab w:val="left" w:pos="360"/>
            </w:tabs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spacing w:line="276" w:lineRule="auto"/>
            <w:rPr>
              <w:color w:val="FF0000"/>
              <w:sz w:val="22"/>
              <w:szCs w:val="22"/>
            </w:rPr>
          </w:pPr>
        </w:p>
        <w:p>
          <w:pPr>
            <w:rPr>
              <w:sz w:val="18"/>
              <w:szCs w:val="18"/>
            </w:rPr>
          </w:pPr>
        </w:p>
        <w:sdt>
          <w:sdtPr>
            <w:alias w:val="preambule"/>
            <w:tag w:val="part_31ac1c5b6de744b68417a213465e1aee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b/>
                  <w:color w:val="FF0000"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32 dalimi, Lietuvos Respublikos teritorijų planavimo įstatymo 27 straipsnio 3 dalimi, 28 straipsnio 1 dalimis, Lietuvos Respublikos aplinkos ministro 2014 m. sausio 2 d. įsakymu Nr. D1-8 „Dėl Kompleksinio teritorijų planavimo dokumentų rengimo taisyklių patvirtinimo“ patvirtintų Kompleksinio teritorijų planavimo dokumentų rengimo taisyklių 223 punktu ir </w:t>
              </w:r>
              <w:r>
                <w:rPr>
                  <w:szCs w:val="24"/>
                  <w:lang w:eastAsia="lt-LT"/>
                </w:rPr>
                <w:t>atsižvelgdama į Valstybinės teritorijų planavimo ir statybos inspekcijos prie Aplinkos ministerijos 2017 m. spalio 9 d. teritorijų planavimo dokumento patikrinimo akto Nr. REG46024 teigiamą išvadą,</w:t>
              </w:r>
              <w:r>
                <w:rPr>
                  <w:szCs w:val="24"/>
                </w:rPr>
                <w:t xml:space="preserve"> Radviliškio rajono savivaldybės taryba  </w:t>
              </w:r>
              <w:r>
                <w:rPr>
                  <w:spacing w:val="50"/>
                  <w:szCs w:val="24"/>
                </w:rPr>
                <w:t>nusprendžia</w:t>
              </w:r>
              <w:r>
                <w:rPr>
                  <w:szCs w:val="24"/>
                </w:rPr>
                <w:t xml:space="preserve"> patvirtinti Radviliškio rajono savivaldybės Šeduvos miesto bendrojo plano patvirtinto Radviliškio rajono savivaldybės tarybos 2012 m. birželio 21 d. sprendimu </w:t>
              </w:r>
              <w:r>
                <w:rPr>
                  <w:szCs w:val="24"/>
                </w:rPr>
                <w:t>Nr. T-319 „Dėl Radviliškio rajono savivaldybės Šeduvos miesto bendrojo plano tvirtinimo</w:t>
              </w:r>
              <w:r>
                <w:rPr>
                  <w:szCs w:val="24"/>
                </w:rPr>
                <w:t>“,</w:t>
              </w:r>
              <w:r>
                <w:rPr>
                  <w:color w:val="FF0000"/>
                  <w:szCs w:val="24"/>
                </w:rPr>
                <w:t xml:space="preserve">  </w:t>
              </w:r>
              <w:r>
                <w:rPr>
                  <w:bCs/>
                  <w:szCs w:val="24"/>
                </w:rPr>
                <w:t>keitimą (pridedama)</w:t>
              </w:r>
              <w:r>
                <w:rPr>
                  <w:szCs w:val="24"/>
                </w:rPr>
                <w:t>.</w:t>
              </w:r>
            </w:p>
          </w:sdtContent>
        </w:sdt>
        <w:sdt>
          <w:sdtPr>
            <w:alias w:val="pastraipa"/>
            <w:tag w:val="part_b008cca617b14f5fa2fe3e1e25fca69c"/>
            <w:lock w:val="sdtLocked"/>
            <w:richText/>
          </w:sdtPr>
          <w:sdtContent>
            <w:p>
              <w:pPr>
                <w:tabs>
                  <w:tab w:val="left" w:pos="360"/>
                  <w:tab w:val="left" w:pos="900"/>
                </w:tabs>
                <w:ind w:firstLine="90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gali būti skundžiamas Lietuvos Respublikos administracinių bylų teisenos įstatymo nustatyta tvarka.</w:t>
              </w:r>
            </w:p>
            <w:p>
              <w:pPr>
                <w:ind w:firstLine="851"/>
                <w:jc w:val="both"/>
                <w:rPr>
                  <w:szCs w:val="24"/>
                </w:rPr>
              </w:pPr>
            </w:p>
            <w:p>
              <w:pPr>
                <w:ind w:firstLine="851"/>
                <w:jc w:val="both"/>
                <w:rPr>
                  <w:szCs w:val="24"/>
                </w:rPr>
              </w:pPr>
            </w:p>
            <w:p>
              <w:pPr>
                <w:ind w:firstLine="851"/>
                <w:jc w:val="both"/>
                <w:rPr>
                  <w:szCs w:val="24"/>
                </w:rPr>
              </w:pPr>
            </w:p>
            <w:p>
              <w:pPr>
                <w:ind w:firstLine="85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ca254c083e5a4ace9f23d16c3cc19cb5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 xml:space="preserve">        </w:t>
                <w:tab/>
                <w:t xml:space="preserve">                                           Antanas Čepononis</w:t>
              </w:r>
            </w:p>
            <w:p>
              <w:pPr>
                <w:tabs>
                  <w:tab w:val="left" w:pos="360"/>
                  <w:tab w:val="left" w:pos="7380"/>
                </w:tabs>
                <w:jc w:val="both"/>
                <w:rPr>
                  <w:szCs w:val="24"/>
                </w:rPr>
              </w:pPr>
            </w:p>
            <w:p>
              <w:pPr>
                <w:tabs>
                  <w:tab w:val="left" w:pos="360"/>
                  <w:tab w:val="left" w:pos="7380"/>
                </w:tabs>
                <w:jc w:val="both"/>
                <w:rPr>
                  <w:szCs w:val="24"/>
                </w:rPr>
              </w:pPr>
            </w:p>
            <w:p>
              <w:pPr>
                <w:tabs>
                  <w:tab w:val="left" w:pos="360"/>
                  <w:tab w:val="left" w:pos="7380"/>
                </w:tabs>
                <w:jc w:val="both"/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866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07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3125212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86786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0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58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52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59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595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93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1017820">
          <w:marLeft w:val="0"/>
          <w:marRight w:val="0"/>
          <w:marTop w:val="0"/>
          <w:marBottom w:val="24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191431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93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111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205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1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29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2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7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0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19792">
          <w:marLeft w:val="27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4661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  <w:div w:id="116119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01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37733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single" w:sz="6" w:space="4" w:color="CCCCCC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3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81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87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53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470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073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190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799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7442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2861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7094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9770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4261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73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6179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81606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24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841752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92290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374415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154779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864660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44364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59513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7020984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image" Target="media/image1.wmf"/>
  <Relationship Id="rId6" Type="http://schemas.openxmlformats.org/officeDocument/2006/relationships/oleObject" Target="embeddings/oleObject1.bin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7bbc642fea44572b0be92b4c42e22f5" PartId="cbead10e75b344b4bab3c779092b344b">
    <Part Type="preambule" DocPartId="a1159a3aa64645ec8809a641a86904e8" PartId="31ac1c5b6de744b68417a213465e1aee"/>
    <Part Type="pastraipa" DocPartId="f5df21c4a9ef494ab9d64b7a329cd81e" PartId="b008cca617b14f5fa2fe3e1e25fca69c"/>
    <Part Type="signatura" DocPartId="500c9a5a6acb47a2b67979fa5c50958b" PartId="ca254c083e5a4ace9f23d16c3cc19cb5"/>
  </Part>
</Parts>
</file>

<file path=customXml/itemProps1.xml><?xml version="1.0" encoding="utf-8"?>
<ds:datastoreItem xmlns:ds="http://schemas.openxmlformats.org/officeDocument/2006/customXml" ds:itemID="{FB830C08-113D-4478-A051-3188DD6D210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1535</Characters>
  <Application>Microsoft Office Word</Application>
  <DocSecurity>4</DocSecurity>
  <Lines>43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2017-11-27T14:11:00Z</dcterms:created>
  <dc:creator>No.2</dc:creator>
  <lastModifiedBy>adlibuser</lastModifiedBy>
  <lastPrinted>2017-11-06T06:15:00Z</lastPrinted>
  <dcterms:modified xsi:type="dcterms:W3CDTF">2017-11-27T14:11:00Z</dcterms:modified>
  <revision>2</revision>
</coreProperties>
</file>