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3388E998" wp14:editId="2676294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ASMENS SVEIKATOS PRIEŽIŪROS PRAKTIKOS ĮSTATYMO NR. XIII-3222 2 IR 3 STRAIPSNIŲ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2021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17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XIV-427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 xml:space="preserve"> straipsnis. </w:t>
      </w:r>
      <w:r>
        <w:rPr>
          <w:rFonts w:eastAsia="Calibri"/>
          <w:b/>
          <w:szCs w:val="24"/>
        </w:rPr>
        <w:t>2 straipsnio pakeitimas</w:t>
      </w:r>
    </w:p>
    <w:p>
      <w:pPr>
        <w:spacing w:line="360" w:lineRule="auto"/>
        <w:ind w:firstLine="720"/>
        <w:jc w:val="both"/>
        <w:rPr>
          <w:rFonts w:eastAsia="Calibri"/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</w:t>
      </w:r>
      <w:r>
        <w:rPr>
          <w:caps/>
          <w:szCs w:val="24"/>
        </w:rPr>
        <w:t>2</w:t>
      </w:r>
      <w:r>
        <w:rPr>
          <w:szCs w:val="24"/>
        </w:rPr>
        <w:t xml:space="preserve"> straipsnio 3 dalį ir ją išdėstyti taip:</w:t>
      </w:r>
      <w:r>
        <w:rPr>
          <w:rFonts w:eastAsia="Calibri"/>
          <w:szCs w:val="24"/>
        </w:rPr>
        <w:t xml:space="preserve"> 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rFonts w:eastAsia="Calibri"/>
          <w:bCs/>
          <w:szCs w:val="24"/>
        </w:rPr>
        <w:t>„</w:t>
      </w: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b/>
          <w:bCs/>
          <w:szCs w:val="24"/>
          <w:lang w:eastAsia="lt-LT"/>
        </w:rPr>
        <w:t>Asmens sveikatos priežiūros specialistas</w:t>
      </w:r>
      <w:r>
        <w:rPr>
          <w:rFonts w:eastAsia="Calibri"/>
          <w:szCs w:val="24"/>
          <w:lang w:eastAsia="lt-LT"/>
        </w:rPr>
        <w:t xml:space="preserve"> – </w:t>
      </w:r>
      <w:r>
        <w:rPr>
          <w:szCs w:val="24"/>
        </w:rPr>
        <w:t>ergoterapeutas</w:t>
      </w:r>
      <w:r>
        <w:rPr>
          <w:rFonts w:eastAsia="Calibri"/>
          <w:szCs w:val="24"/>
          <w:lang w:eastAsia="lt-LT"/>
        </w:rPr>
        <w:t>, išplėstinės praktikos vaistininkas, k</w:t>
      </w:r>
      <w:r>
        <w:rPr>
          <w:szCs w:val="24"/>
        </w:rPr>
        <w:t>ineziterapeutas</w:t>
      </w:r>
      <w:r>
        <w:rPr>
          <w:rFonts w:eastAsia="Calibri"/>
          <w:szCs w:val="24"/>
          <w:lang w:eastAsia="lt-LT"/>
        </w:rPr>
        <w:t xml:space="preserve">, </w:t>
      </w:r>
      <w:r>
        <w:rPr>
          <w:rFonts w:eastAsia="Calibri"/>
          <w:bCs/>
          <w:szCs w:val="24"/>
          <w:lang w:eastAsia="lt-LT"/>
        </w:rPr>
        <w:t>gydomojo masažo specialistas</w:t>
      </w:r>
      <w:r>
        <w:rPr>
          <w:rFonts w:eastAsia="Calibri"/>
          <w:szCs w:val="24"/>
          <w:lang w:eastAsia="lt-LT"/>
        </w:rPr>
        <w:t>, m</w:t>
      </w:r>
      <w:r>
        <w:rPr>
          <w:szCs w:val="24"/>
        </w:rPr>
        <w:t>edicinos psichologas</w:t>
      </w:r>
      <w:r>
        <w:rPr>
          <w:rFonts w:eastAsia="Calibri"/>
          <w:szCs w:val="24"/>
          <w:lang w:eastAsia="lt-LT"/>
        </w:rPr>
        <w:t>, m</w:t>
      </w:r>
      <w:r>
        <w:rPr>
          <w:szCs w:val="24"/>
        </w:rPr>
        <w:t>edicinos genetikas</w:t>
      </w:r>
      <w:r>
        <w:rPr>
          <w:rFonts w:eastAsia="Calibri"/>
          <w:szCs w:val="24"/>
          <w:lang w:eastAsia="lt-LT"/>
        </w:rPr>
        <w:t>, m</w:t>
      </w:r>
      <w:r>
        <w:rPr>
          <w:szCs w:val="24"/>
        </w:rPr>
        <w:t>edicinos biologas</w:t>
      </w:r>
      <w:r>
        <w:rPr>
          <w:rFonts w:eastAsia="Calibri"/>
          <w:szCs w:val="24"/>
          <w:lang w:eastAsia="lt-LT"/>
        </w:rPr>
        <w:t xml:space="preserve">, </w:t>
      </w:r>
      <w:r>
        <w:rPr>
          <w:szCs w:val="24"/>
        </w:rPr>
        <w:t>biomedicinos technologas</w:t>
      </w:r>
      <w:r>
        <w:rPr>
          <w:rFonts w:eastAsia="Calibri"/>
          <w:szCs w:val="24"/>
          <w:lang w:eastAsia="lt-LT"/>
        </w:rPr>
        <w:t xml:space="preserve">, </w:t>
      </w:r>
      <w:r>
        <w:rPr>
          <w:szCs w:val="24"/>
        </w:rPr>
        <w:t>radiologijos technologas</w:t>
      </w:r>
      <w:r>
        <w:rPr>
          <w:rFonts w:eastAsia="Calibri"/>
          <w:szCs w:val="24"/>
          <w:lang w:eastAsia="lt-LT"/>
        </w:rPr>
        <w:t>, d</w:t>
      </w:r>
      <w:r>
        <w:rPr>
          <w:szCs w:val="24"/>
        </w:rPr>
        <w:t>ietistas</w:t>
      </w:r>
      <w:r>
        <w:rPr>
          <w:rFonts w:eastAsia="Calibri"/>
          <w:szCs w:val="24"/>
          <w:lang w:eastAsia="lt-LT"/>
        </w:rPr>
        <w:t>, o</w:t>
      </w:r>
      <w:r>
        <w:rPr>
          <w:szCs w:val="24"/>
        </w:rPr>
        <w:t>ptometrininkas</w:t>
      </w:r>
      <w:r>
        <w:rPr>
          <w:rFonts w:eastAsia="Calibri"/>
          <w:szCs w:val="24"/>
          <w:lang w:eastAsia="lt-LT"/>
        </w:rPr>
        <w:t xml:space="preserve">, paramedikas, </w:t>
      </w:r>
      <w:r>
        <w:rPr>
          <w:szCs w:val="24"/>
        </w:rPr>
        <w:t>skubiosios medicinos pagalbos paramedikas.“</w:t>
      </w:r>
    </w:p>
    <w:p>
      <w:pPr>
        <w:spacing w:line="360" w:lineRule="auto"/>
        <w:ind w:firstLine="720"/>
        <w:jc w:val="both"/>
        <w:rPr>
          <w:rFonts w:eastAsia="Calibri"/>
          <w:szCs w:val="24"/>
          <w:lang w:eastAsia="lt-LT"/>
        </w:rPr>
      </w:pPr>
      <w:r>
        <w:rPr>
          <w:szCs w:val="24"/>
        </w:rPr>
        <w:t>2</w:t>
      </w:r>
      <w:r>
        <w:rPr>
          <w:szCs w:val="24"/>
        </w:rPr>
        <w:t xml:space="preserve">. Papildyti </w:t>
      </w:r>
      <w:r>
        <w:rPr>
          <w:caps/>
          <w:szCs w:val="24"/>
        </w:rPr>
        <w:t>2</w:t>
      </w:r>
      <w:r>
        <w:rPr>
          <w:szCs w:val="24"/>
        </w:rPr>
        <w:t xml:space="preserve"> straipsnį nauju 7 punktu: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>„</w:t>
      </w:r>
      <w:r>
        <w:rPr>
          <w:bCs/>
          <w:szCs w:val="24"/>
          <w:lang w:eastAsia="lt-LT"/>
        </w:rPr>
        <w:t>7</w:t>
      </w:r>
      <w:r>
        <w:rPr>
          <w:bCs/>
          <w:szCs w:val="24"/>
          <w:lang w:eastAsia="lt-LT"/>
        </w:rPr>
        <w:t xml:space="preserve">. </w:t>
      </w:r>
      <w:r>
        <w:rPr>
          <w:b/>
          <w:bCs/>
          <w:szCs w:val="24"/>
          <w:lang w:eastAsia="lt-LT"/>
        </w:rPr>
        <w:t>Gydomojo masažo specialistas</w:t>
      </w:r>
      <w:r>
        <w:rPr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– asmuo,</w:t>
      </w:r>
      <w:r>
        <w:rPr>
          <w:szCs w:val="24"/>
        </w:rPr>
        <w:t xml:space="preserve"> įgijęs </w:t>
      </w:r>
      <w:r>
        <w:rPr>
          <w:bCs/>
          <w:szCs w:val="24"/>
        </w:rPr>
        <w:t>gydomojo masažo specialisto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profesinę kvalifikaciją.“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Buvusius </w:t>
      </w:r>
      <w:r>
        <w:rPr>
          <w:caps/>
          <w:szCs w:val="24"/>
        </w:rPr>
        <w:t>2</w:t>
      </w:r>
      <w:r>
        <w:rPr>
          <w:szCs w:val="24"/>
        </w:rPr>
        <w:t xml:space="preserve"> straipsnio 7–18 punktus laikyti atitinkamai 8–19 punktais.</w:t>
      </w:r>
    </w:p>
    <w:p>
      <w:pPr>
        <w:spacing w:line="360" w:lineRule="auto"/>
        <w:ind w:firstLine="720"/>
        <w:jc w:val="both"/>
        <w:rPr>
          <w:b/>
          <w:szCs w:val="24"/>
          <w:lang w:eastAsia="lt-LT"/>
        </w:rPr>
      </w:pPr>
      <w:r>
        <w:rPr>
          <w:szCs w:val="24"/>
        </w:rPr>
        <w:t>4</w:t>
      </w:r>
      <w:r>
        <w:rPr>
          <w:szCs w:val="24"/>
        </w:rPr>
        <w:t>. Pripažinti netekusiu galios</w:t>
      </w:r>
      <w:r>
        <w:rPr>
          <w:szCs w:val="24"/>
          <w:lang w:eastAsia="lt-LT"/>
        </w:rPr>
        <w:t xml:space="preserve"> </w:t>
      </w:r>
      <w:r>
        <w:rPr>
          <w:caps/>
          <w:szCs w:val="24"/>
        </w:rPr>
        <w:t>2</w:t>
      </w:r>
      <w:r>
        <w:rPr>
          <w:szCs w:val="24"/>
        </w:rPr>
        <w:t xml:space="preserve"> straipsnio 10 punktą.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</w:t>
      </w:r>
      <w:r>
        <w:rPr>
          <w:rFonts w:eastAsia="Calibri"/>
          <w:b/>
          <w:bCs/>
          <w:szCs w:val="24"/>
        </w:rPr>
        <w:t>s</w:t>
      </w:r>
      <w:r>
        <w:rPr>
          <w:rFonts w:eastAsia="Calibri"/>
          <w:b/>
          <w:szCs w:val="24"/>
        </w:rPr>
        <w:t xml:space="preserve">traipsnis. </w:t>
      </w:r>
      <w:r>
        <w:rPr>
          <w:rFonts w:eastAsia="Calibri"/>
          <w:b/>
          <w:szCs w:val="24"/>
        </w:rPr>
        <w:t>3 straipsnio pakeitimas</w:t>
      </w:r>
    </w:p>
    <w:p>
      <w:pPr>
        <w:spacing w:line="360" w:lineRule="auto"/>
        <w:ind w:firstLine="72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Pakeisti 3 straipsnio 6 dalį ir ją išdėstyti taip:</w:t>
      </w:r>
    </w:p>
    <w:p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</w:rPr>
        <w:t>6</w:t>
      </w:r>
      <w:r>
        <w:rPr>
          <w:bCs/>
          <w:szCs w:val="24"/>
        </w:rPr>
        <w:t xml:space="preserve">. </w:t>
      </w:r>
      <w:r>
        <w:rPr>
          <w:szCs w:val="24"/>
        </w:rPr>
        <w:t>Gydomojo masažo specialisto</w:t>
      </w:r>
      <w:r>
        <w:rPr>
          <w:bCs/>
          <w:szCs w:val="24"/>
        </w:rPr>
        <w:t xml:space="preserve"> profesinė kvalifikacija įgyjama baigus masažuotojo formaliojo profesinio mokymo programą ir</w:t>
      </w:r>
      <w:r>
        <w:rPr>
          <w:szCs w:val="24"/>
        </w:rPr>
        <w:t xml:space="preserve"> </w:t>
      </w:r>
      <w:r>
        <w:rPr>
          <w:bCs/>
          <w:szCs w:val="24"/>
        </w:rPr>
        <w:t>papildomą gydomojo masažo profesinio mokymo modulį.“</w:t>
      </w:r>
    </w:p>
    <w:p>
      <w:pPr>
        <w:spacing w:line="360" w:lineRule="auto"/>
        <w:ind w:firstLine="720"/>
        <w:jc w:val="both"/>
        <w:rPr>
          <w:bCs/>
          <w:szCs w:val="24"/>
        </w:rPr>
      </w:pPr>
    </w:p>
    <w:p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įsigaliojimas, įgyvendinimas ir taikymas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Šis įstatymas, išskyrus šio straipsnio 2 dalį, įsigalioja 2021 m. lapkričio 1 d.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Lietuvos Respublikos sveikatos apsaugos ministras iki 2021 m. spalio 31 d. priima šio įstatymo įgyvendinamuosius teisės aktus.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 Gydomojo masažo specialisto profesinę kvalifikaciją turintiems asmenims prilyginami asmenys, iki 2023 m. liepos 1 d. įgiję masažuotojo profesinę kvalifikaciją pagal iki šio įstatymo įsigaliojimo dienos patvirtintas masažuotojo formaliojo profesinio mokymo programas, jeigu mokytis pagal šias programas jie pradėjo iki šio įstatymo įsigaliojimo.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Iki šio įstatymo įsigaliojimo dienos išduotos </w:t>
      </w:r>
      <w:r>
        <w:rPr>
          <w:szCs w:val="24"/>
        </w:rPr>
        <w:t>asmens sveikatos priežiūros praktikos licencijos, suteikiančios teisę verstis asmens sveikatos priežiūros praktika pagal masažuotojo profesinę kvalifikaciją, suteikia teisę verstis asmens sveikatos priežiūros praktika pagal gydomojo masažo specialisto profesinę kvalifikaciją.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1934</Characters>
  <Application>Microsoft Office Word</Application>
  <DocSecurity>4</DocSecurity>
  <Lines>48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2180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2021-06-29T13:09:00Z</dcterms:created>
  <dc:creator>MOZERIENĖ Dainora</dc:creator>
  <lastModifiedBy>adlibuser</lastModifiedBy>
  <lastPrinted>2021-06-18T06:12:00Z</lastPrinted>
  <dcterms:modified xsi:type="dcterms:W3CDTF">2021-06-29T13:09:00Z</dcterms:modified>
  <revision>2</revision>
</coreProperties>
</file>