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9a1ad46900449aa8742376d809c06c1"/>
        <w:lock w:val="sdtLocked"/>
        <w:richText/>
      </w:sdtPr>
      <w:sdtContent>
        <w:tbl>
          <w:tblPr>
            <w:tblW w:w="10154" w:type="dxa"/>
            <w:jc w:val="center"/>
            <w:tblLayout w:type="fixed"/>
            <w:tblLook w:val="0000" w:firstRow="0" w:lastRow="0" w:firstColumn="0" w:lastColumn="0" w:noHBand="0" w:noVBand="0"/>
          </w:tblPr>
          <w:tblGrid>
            <w:gridCol w:w="10154"/>
          </w:tblGrid>
          <w:tr>
            <w:trPr>
              <w:trHeight w:val="286"/>
              <w:jc w:val="center"/>
            </w:trPr>
            <w:tc>
              <w:tcPr>
                <w:tcW w:w="10154" w:type="dxa"/>
                <w:vAlign w:val="bottom"/>
              </w:tcPr>
              <w:p>
                <w:pPr>
                  <w:widowControl w:val="0"/>
                  <w:jc w:val="both"/>
                </w:pPr>
              </w:p>
              <w:p>
                <w:pPr>
                  <w:rPr>
                    <w:sz w:val="10"/>
                    <w:szCs w:val="10"/>
                  </w:rPr>
                </w:pPr>
              </w:p>
              <w:p>
                <w:pPr>
                  <w:jc w:val="center"/>
                  <w:rPr>
                    <w:b/>
                    <w:caps/>
                    <w:szCs w:val="24"/>
                  </w:rPr>
                </w:pPr>
                <w:r>
                  <w:rPr>
                    <w:spacing w:val="20"/>
                    <w:sz w:val="16"/>
                    <w:szCs w:val="24"/>
                  </w:rPr>
                  <w:object w:dxaOrig="931" w:dyaOrig="1036" w14:anchorId="435D79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4403199" r:id="rId8"/>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rPr>
                    <w:b/>
                    <w:caps/>
                    <w:szCs w:val="24"/>
                  </w:rPr>
                </w:pPr>
              </w:p>
            </w:tc>
          </w:tr>
          <w:tr>
            <w:trPr>
              <w:trHeight w:val="286"/>
              <w:jc w:val="center"/>
            </w:trPr>
            <w:tc>
              <w:tcPr>
                <w:tcW w:w="10154" w:type="dxa"/>
                <w:vAlign w:val="bottom"/>
              </w:tcPr>
              <w:p>
                <w:pPr>
                  <w:jc w:val="center"/>
                  <w:rPr>
                    <w:b/>
                    <w:caps/>
                    <w:szCs w:val="24"/>
                  </w:rPr>
                </w:pPr>
                <w:r>
                  <w:rPr>
                    <w:b/>
                    <w:caps/>
                    <w:szCs w:val="24"/>
                  </w:rPr>
                  <w:t>SPRENDIMAS</w:t>
                </w:r>
              </w:p>
            </w:tc>
          </w:tr>
          <w:tr>
            <w:trPr>
              <w:trHeight w:val="286"/>
              <w:jc w:val="center"/>
            </w:trPr>
            <w:tc>
              <w:tcPr>
                <w:tcW w:w="10154" w:type="dxa"/>
                <w:vAlign w:val="bottom"/>
              </w:tcPr>
              <w:p>
                <w:pPr>
                  <w:tabs>
                    <w:tab w:val="left" w:pos="4709"/>
                  </w:tabs>
                  <w:jc w:val="center"/>
                  <w:rPr>
                    <w:b/>
                    <w:szCs w:val="24"/>
                  </w:rPr>
                </w:pPr>
                <w:r>
                  <w:rPr>
                    <w:b/>
                    <w:bCs/>
                    <w:szCs w:val="24"/>
                    <w:lang w:val="en-GB"/>
                  </w:rPr>
                  <w:t>DĖL SAVIVALDYBĖS TURTO INVESTAVIMO IR UŽDAROSIOS AKCINĖS BENDROVĖS „TELŠIŲ ŠILUMOS TINKLAI“ ĮSTATINIO KAPITALO PADIDINIMO</w:t>
                </w:r>
              </w:p>
            </w:tc>
          </w:tr>
          <w:tr>
            <w:trPr>
              <w:trHeight w:val="286"/>
              <w:jc w:val="center"/>
            </w:trPr>
            <w:tc>
              <w:tcPr>
                <w:tcW w:w="10154" w:type="dxa"/>
                <w:vAlign w:val="bottom"/>
              </w:tcPr>
              <w:p>
                <w:pPr>
                  <w:jc w:val="center"/>
                  <w:rPr>
                    <w:bCs/>
                    <w:szCs w:val="24"/>
                  </w:rPr>
                </w:pPr>
              </w:p>
            </w:tc>
          </w:tr>
          <w:tr>
            <w:trPr>
              <w:trHeight w:val="286"/>
              <w:jc w:val="center"/>
            </w:trPr>
            <w:tc>
              <w:tcPr>
                <w:tcW w:w="10154" w:type="dxa"/>
                <w:vAlign w:val="bottom"/>
              </w:tcPr>
              <w:p>
                <w:pPr>
                  <w:jc w:val="center"/>
                  <w:rPr>
                    <w:bCs/>
                    <w:szCs w:val="24"/>
                  </w:rPr>
                </w:pPr>
                <w:r>
                  <w:rPr>
                    <w:bCs/>
                    <w:szCs w:val="24"/>
                  </w:rPr>
                  <w:t>2026 m. birželio 25 d. Nr. T1-204</w:t>
                </w:r>
              </w:p>
            </w:tc>
          </w:tr>
          <w:tr>
            <w:trPr>
              <w:trHeight w:val="286"/>
              <w:jc w:val="center"/>
            </w:trPr>
            <w:tc>
              <w:tcPr>
                <w:tcW w:w="10154" w:type="dxa"/>
                <w:vAlign w:val="bottom"/>
              </w:tcPr>
              <w:p>
                <w:pPr>
                  <w:jc w:val="center"/>
                  <w:rPr>
                    <w:bCs/>
                    <w:szCs w:val="24"/>
                  </w:rPr>
                </w:pPr>
                <w:r>
                  <w:rPr>
                    <w:bCs/>
                    <w:szCs w:val="24"/>
                  </w:rPr>
                  <w:t>Telšiai</w:t>
                </w:r>
              </w:p>
            </w:tc>
          </w:tr>
        </w:tbl>
        <w:p>
          <w:pPr>
            <w:tabs>
              <w:tab w:val="left" w:pos="709"/>
              <w:tab w:val="center" w:pos="4153"/>
              <w:tab w:val="right" w:pos="8306"/>
            </w:tabs>
            <w:jc w:val="both"/>
            <w:rPr>
              <w:szCs w:val="24"/>
            </w:rPr>
          </w:pPr>
        </w:p>
      </w:sdtContent>
    </w:sdt>
    <w:sdt>
      <w:sdtPr>
        <w:alias w:val="pastraipa"/>
        <w:tag w:val="part_dc347d91b95a4ca4abc28b207e3b169d"/>
        <w:lock w:val="sdtLocked"/>
        <w:richText/>
      </w:sdtPr>
      <w:sdtContent>
        <w:p>
          <w:pPr>
            <w:tabs>
              <w:tab w:val="left" w:pos="993"/>
            </w:tabs>
            <w:ind w:right="-58" w:firstLine="851"/>
            <w:jc w:val="both"/>
            <w:rPr>
              <w:color w:val="000000"/>
              <w:spacing w:val="60"/>
              <w:szCs w:val="24"/>
              <w:lang w:eastAsia="lt-LT"/>
            </w:rPr>
          </w:pPr>
          <w:r>
            <w:rPr>
              <w:szCs w:val="24"/>
              <w:lang w:eastAsia="lt-LT"/>
            </w:rPr>
            <w:t xml:space="preserve">Vadovaudamasi Lietuvos Respublikos vietos savivaldos įstatymo 15 straipsnio 2 dalies 19 punktu, Lietuvos Respublikos valstybės ir savivaldybių turto valdymo, naudojimo ir disponavimo juo įstatymo 21 straipsnio 1 dalies 2 punktu, 3 dalies 5, 7 ir 9 punktais, 4 dalimi, Lietuvos Respublikos akcinių bendrovių įstatymo 49 straipsnio 2 dalimi, 50 straipsnio 1 dalimi, Sprendimo investuoti valstybės ir savivaldybių turtą priėmimo tvarkos aprašo, </w:t>
          </w:r>
          <w:r>
            <w:rPr>
              <w:color w:val="000000"/>
              <w:szCs w:val="24"/>
              <w:lang w:eastAsia="lt-LT"/>
            </w:rPr>
            <w:t xml:space="preserve">patvirtinto </w:t>
          </w:r>
          <w:r>
            <w:rPr>
              <w:szCs w:val="24"/>
              <w:lang w:eastAsia="lt-LT"/>
            </w:rPr>
            <w:t xml:space="preserve">Lietuvos Respublikos Vyriausybės 2007 m. liepos 4 d. nutarimu Nr. 758 „Dėl Sprendimo investuoti valstybės ir </w:t>
          </w:r>
          <w:r>
            <w:rPr>
              <w:color w:val="000000"/>
              <w:szCs w:val="24"/>
              <w:lang w:eastAsia="lt-LT"/>
            </w:rPr>
            <w:t xml:space="preserve">savivaldybių turtą priėmimo tvarkos aprašo patvirtinimo“, 5 punktu, atsižvelgdama į </w:t>
          </w:r>
          <w:r>
            <w:rPr>
              <w:szCs w:val="24"/>
              <w:lang w:eastAsia="lt-LT"/>
            </w:rPr>
            <w:t>Telšių rajono savivaldybės mero 2026 m. birželio 5 d. pasiūlymą Nr. M7-373 „Dėl pasiūlymo investuoti savivaldybės turtą, didinant uždarosios akcinės bendrovės „Telšių šilumos tinklai“ įstatinį kapitalą“</w:t>
          </w:r>
          <w:r>
            <w:rPr>
              <w:color w:val="000000"/>
              <w:szCs w:val="24"/>
              <w:lang w:eastAsia="lt-LT"/>
            </w:rPr>
            <w:t xml:space="preserve">, Telšių rajono savivaldybės taryba </w:t>
          </w:r>
          <w:r>
            <w:rPr>
              <w:color w:val="000000"/>
              <w:spacing w:val="60"/>
              <w:szCs w:val="24"/>
              <w:lang w:eastAsia="lt-LT"/>
            </w:rPr>
            <w:t>nusprendži</w:t>
          </w:r>
          <w:r>
            <w:rPr>
              <w:color w:val="000000"/>
              <w:szCs w:val="24"/>
              <w:lang w:eastAsia="lt-LT"/>
            </w:rPr>
            <w:t>a</w:t>
          </w:r>
          <w:r>
            <w:rPr>
              <w:color w:val="000000"/>
              <w:spacing w:val="60"/>
              <w:szCs w:val="24"/>
              <w:lang w:eastAsia="lt-LT"/>
            </w:rPr>
            <w:t>:</w:t>
          </w:r>
        </w:p>
        <w:sdt>
          <w:sdtPr>
            <w:alias w:val="1 p."/>
            <w:tag w:val="part_cf9b2c1c31774dcf9f9dace75479b8ae"/>
            <w:lock w:val="sdtLocked"/>
            <w:richText/>
          </w:sdtPr>
          <w:sdtContent>
            <w:p>
              <w:pPr>
                <w:tabs>
                  <w:tab w:val="left" w:pos="1134"/>
                </w:tabs>
                <w:ind w:right="-58" w:firstLine="851"/>
                <w:jc w:val="both"/>
                <w:rPr>
                  <w:rFonts w:eastAsia="Andale Sans UI" w:cs="Tahoma"/>
                  <w:shd w:val="clear" w:color="auto" w:fill="FFFFFF"/>
                  <w:lang w:bidi="en-US"/>
                </w:rPr>
              </w:pPr>
              <w:sdt>
                <w:sdtPr>
                  <w:alias w:val="Numeris"/>
                  <w:tag w:val="nr_cf9b2c1c31774dcf9f9dace75479b8ae"/>
                  <w:lock w:val="sdtLocked"/>
                  <w:richText/>
                </w:sdtPr>
                <w:sdtContent>
                  <w:r>
                    <w:rPr>
                      <w:color w:val="000000"/>
                      <w:lang w:eastAsia="lt-LT"/>
                    </w:rPr>
                    <w:t>1</w:t>
                  </w:r>
                </w:sdtContent>
              </w:sdt>
              <w:r>
                <w:rPr>
                  <w:color w:val="000000"/>
                  <w:lang w:eastAsia="lt-LT"/>
                </w:rPr>
                <w:t xml:space="preserve">. Investuoti Telšių rajono savivaldybei (toliau – Savivaldybė) nuosavybės teise priklausantį finansinį turtą </w:t>
              </w:r>
              <w:r>
                <w:rPr>
                  <w:rFonts w:eastAsia="Andale Sans UI"/>
                  <w:szCs w:val="24"/>
                  <w:shd w:val="clear" w:color="auto" w:fill="FFFFFF"/>
                  <w:lang w:bidi="en-US"/>
                </w:rPr>
                <w:t>46719,00 (keturiasdešimt šešis tūkstančius septynis šimtus devyniolika eurų)</w:t>
              </w:r>
              <w:r>
                <w:rPr>
                  <w:color w:val="000000"/>
                  <w:lang w:eastAsia="lt-LT"/>
                </w:rPr>
                <w:t xml:space="preserve">, </w:t>
              </w:r>
              <w:r>
                <w:rPr>
                  <w:rFonts w:eastAsia="Andale Sans UI" w:cs="Tahoma"/>
                  <w:shd w:val="clear" w:color="auto" w:fill="FFFFFF"/>
                  <w:lang w:bidi="en-US"/>
                </w:rPr>
                <w:t>kaip Savivaldybės piniginį įnašą į uždarąją akcinę bendrovę „Telšių šilumos tinklai“, didinant Savivaldybei priklausančio uždarosios akcinės bendrovės „Telšių šilumos tinklai“ įstatinio kapitalo dydį, išleidžiant 16110 (šešiolika tūkstančių vieną šimtą dešimt) vienetų paprastųjų vardinių akcijų, kurių vienos nominali vertė – 2,90 Eur, nustatant, kad akcijų emisijos kaina lygi jų nominaliai vertei. Visos išleistos akcijos perduodamos Savivaldybei.</w:t>
              </w:r>
            </w:p>
          </w:sdtContent>
        </w:sdt>
        <w:sdt>
          <w:sdtPr>
            <w:alias w:val="2 p."/>
            <w:tag w:val="part_704c51ec135a4ed3838d48321cd624b5"/>
            <w:lock w:val="sdtLocked"/>
            <w:richText/>
          </w:sdtPr>
          <w:sdtContent>
            <w:p>
              <w:pPr>
                <w:tabs>
                  <w:tab w:val="left" w:pos="1134"/>
                </w:tabs>
                <w:ind w:right="-58" w:firstLine="851"/>
                <w:jc w:val="both"/>
                <w:rPr>
                  <w:szCs w:val="24"/>
                </w:rPr>
              </w:pPr>
              <w:sdt>
                <w:sdtPr>
                  <w:alias w:val="Numeris"/>
                  <w:tag w:val="nr_704c51ec135a4ed3838d48321cd624b5"/>
                  <w:lock w:val="sdtLocked"/>
                  <w:richText/>
                </w:sdtPr>
                <w:sdtContent>
                  <w:r>
                    <w:rPr>
                      <w:rFonts w:eastAsia="Andale Sans UI" w:cs="Tahoma"/>
                      <w:szCs w:val="24"/>
                      <w:shd w:val="clear" w:color="auto" w:fill="FFFFFF"/>
                      <w:lang w:bidi="en-US"/>
                    </w:rPr>
                    <w:t>2</w:t>
                  </w:r>
                </w:sdtContent>
              </w:sdt>
              <w:r>
                <w:rPr>
                  <w:rFonts w:eastAsia="Andale Sans UI" w:cs="Tahoma"/>
                  <w:szCs w:val="24"/>
                  <w:shd w:val="clear" w:color="auto" w:fill="FFFFFF"/>
                  <w:lang w:bidi="en-US"/>
                </w:rPr>
                <w:t xml:space="preserve">. </w:t>
              </w:r>
              <w:r>
                <w:rPr>
                  <w:szCs w:val="24"/>
                </w:rPr>
                <w:t>Įgalioti Savivaldybės merą Lietuvos Respublikos teisės aktų nustatyta tvarka atlikti visus su Savivaldybės turto investavimu susijusius veiksmus.</w:t>
              </w:r>
            </w:p>
          </w:sdtContent>
        </w:sdt>
        <w:sdt>
          <w:sdtPr>
            <w:alias w:val="3 p."/>
            <w:tag w:val="part_b6ffbff8195442269691d59d057f3019"/>
            <w:lock w:val="sdtLocked"/>
            <w:richText/>
          </w:sdtPr>
          <w:sdtContent>
            <w:p>
              <w:pPr>
                <w:tabs>
                  <w:tab w:val="left" w:pos="1134"/>
                </w:tabs>
                <w:ind w:right="-58" w:firstLine="851"/>
                <w:jc w:val="both"/>
                <w:rPr>
                  <w:szCs w:val="24"/>
                </w:rPr>
              </w:pPr>
              <w:sdt>
                <w:sdtPr>
                  <w:alias w:val="Numeris"/>
                  <w:tag w:val="nr_b6ffbff8195442269691d59d057f3019"/>
                  <w:lock w:val="sdtLocked"/>
                  <w:richText/>
                </w:sdtPr>
                <w:sdtContent>
                  <w:r>
                    <w:rPr>
                      <w:szCs w:val="24"/>
                    </w:rPr>
                    <w:t>3</w:t>
                  </w:r>
                </w:sdtContent>
              </w:sdt>
              <w:r>
                <w:rPr>
                  <w:szCs w:val="24"/>
                </w:rPr>
                <w:t xml:space="preserve">. Įgalioti </w:t>
              </w:r>
              <w:r>
                <w:rPr>
                  <w:rFonts w:eastAsia="Andale Sans UI" w:cs="Tahoma"/>
                  <w:szCs w:val="24"/>
                  <w:shd w:val="clear" w:color="auto" w:fill="FFFFFF"/>
                  <w:lang w:bidi="en-US"/>
                </w:rPr>
                <w:t>uždarosios akcinės bendrovės „Telšių šilumos tinklai“</w:t>
              </w:r>
              <w:r>
                <w:rPr>
                  <w:szCs w:val="24"/>
                </w:rPr>
                <w:t xml:space="preserve"> direktorių Lietuvos Respublikos teisės aktų nustatyta tvarka atlikti visus su Savivaldybės turto investavimu susijusius veiksmus</w:t>
              </w:r>
              <w:r>
                <w:rPr>
                  <w:szCs w:val="24"/>
                  <w:lang w:eastAsia="ar-SA"/>
                </w:rPr>
                <w:t>.</w:t>
              </w:r>
            </w:p>
            <w:p>
              <w:pPr>
                <w:tabs>
                  <w:tab w:val="left" w:pos="709"/>
                  <w:tab w:val="center" w:pos="4153"/>
                  <w:tab w:val="right" w:pos="8306"/>
                </w:tabs>
                <w:ind w:right="-58"/>
                <w:jc w:val="both"/>
                <w:rPr>
                  <w:szCs w:val="24"/>
                </w:rPr>
              </w:pPr>
            </w:p>
            <w:p>
              <w:pPr>
                <w:tabs>
                  <w:tab w:val="left" w:pos="1296"/>
                  <w:tab w:val="center" w:pos="4153"/>
                  <w:tab w:val="right" w:pos="8306"/>
                </w:tabs>
                <w:ind w:right="-58"/>
                <w:jc w:val="both"/>
                <w:rPr>
                  <w:szCs w:val="24"/>
                </w:rPr>
              </w:pPr>
              <w:r>
                <w:rPr>
                  <w:szCs w:val="24"/>
                </w:rPr>
                <w:t xml:space="preserve">Savivaldybės meras                                                                                                            Tomas Katkus</w:t>
              </w:r>
            </w:p>
            <w:p>
              <w:pPr>
                <w:tabs>
                  <w:tab w:val="left" w:pos="1296"/>
                  <w:tab w:val="center" w:pos="4153"/>
                  <w:tab w:val="right" w:pos="8306"/>
                </w:tabs>
                <w:ind w:right="-58"/>
                <w:jc w:val="both"/>
                <w:rPr>
                  <w:szCs w:val="24"/>
                </w:rPr>
              </w:pPr>
            </w:p>
            <w:p>
              <w:pPr>
                <w:tabs>
                  <w:tab w:val="left" w:pos="1296"/>
                  <w:tab w:val="center" w:pos="4153"/>
                  <w:tab w:val="right" w:pos="8306"/>
                </w:tabs>
                <w:ind w:right="-58"/>
                <w:jc w:val="both"/>
                <w:rPr>
                  <w:szCs w:val="24"/>
                </w:rPr>
              </w:pPr>
            </w:p>
            <w:p>
              <w:pPr>
                <w:tabs>
                  <w:tab w:val="left" w:pos="1296"/>
                  <w:tab w:val="center" w:pos="4153"/>
                  <w:tab w:val="right" w:pos="8306"/>
                </w:tabs>
                <w:jc w:val="both"/>
                <w:rPr>
                  <w:szCs w:val="24"/>
                </w:rPr>
              </w:pPr>
            </w:p>
            <w:p>
              <w:pPr>
                <w:tabs>
                  <w:tab w:val="left" w:pos="1296"/>
                  <w:tab w:val="center" w:pos="4153"/>
                  <w:tab w:val="right" w:pos="8306"/>
                </w:tabs>
                <w:jc w:val="both"/>
                <w:rPr>
                  <w:szCs w:val="24"/>
                </w:rPr>
              </w:pPr>
            </w:p>
            <w:p>
              <w:pPr>
                <w:tabs>
                  <w:tab w:val="left" w:pos="1296"/>
                  <w:tab w:val="center" w:pos="4153"/>
                  <w:tab w:val="right" w:pos="8306"/>
                </w:tabs>
                <w:jc w:val="both"/>
                <w:rPr>
                  <w:szCs w:val="24"/>
                </w:rPr>
              </w:pPr>
            </w:p>
            <w:p>
              <w:pPr>
                <w:tabs>
                  <w:tab w:val="left" w:pos="1296"/>
                  <w:tab w:val="center" w:pos="4153"/>
                  <w:tab w:val="right" w:pos="8306"/>
                </w:tabs>
                <w:jc w:val="both"/>
                <w:rPr>
                  <w:szCs w:val="24"/>
                </w:rPr>
              </w:pPr>
            </w:p>
            <w:p>
              <w:pPr>
                <w:tabs>
                  <w:tab w:val="left" w:pos="1296"/>
                  <w:tab w:val="center" w:pos="4153"/>
                  <w:tab w:val="right" w:pos="8306"/>
                </w:tabs>
                <w:jc w:val="both"/>
                <w:rPr>
                  <w:szCs w:val="24"/>
                </w:rPr>
              </w:pPr>
            </w:p>
            <w:p>
              <w:pPr>
                <w:tabs>
                  <w:tab w:val="left" w:pos="1296"/>
                  <w:tab w:val="center" w:pos="4153"/>
                  <w:tab w:val="right" w:pos="8306"/>
                </w:tabs>
                <w:jc w:val="both"/>
                <w:rPr>
                  <w:szCs w:val="24"/>
                </w:rPr>
              </w:pPr>
            </w:p>
            <w:p>
              <w:pPr>
                <w:tabs>
                  <w:tab w:val="left" w:pos="1296"/>
                  <w:tab w:val="center" w:pos="4153"/>
                  <w:tab w:val="right" w:pos="8306"/>
                </w:tabs>
                <w:jc w:val="both"/>
                <w:rPr>
                  <w:szCs w:val="24"/>
                </w:rPr>
              </w:pPr>
            </w:p>
            <w:p>
              <w:pPr>
                <w:tabs>
                  <w:tab w:val="left" w:pos="1296"/>
                  <w:tab w:val="center" w:pos="4153"/>
                  <w:tab w:val="right" w:pos="8306"/>
                </w:tabs>
                <w:jc w:val="both"/>
                <w:rPr>
                  <w:szCs w:val="24"/>
                </w:rPr>
              </w:pPr>
            </w:p>
            <w:p>
              <w:pPr>
                <w:tabs>
                  <w:tab w:val="left" w:pos="1296"/>
                  <w:tab w:val="center" w:pos="4153"/>
                  <w:tab w:val="right" w:pos="8306"/>
                </w:tabs>
                <w:jc w:val="both"/>
                <w:rPr>
                  <w:szCs w:val="24"/>
                </w:rPr>
              </w:pPr>
            </w:p>
            <w:p>
              <w:pPr>
                <w:rPr>
                  <w:szCs w:val="24"/>
                </w:rPr>
              </w:pPr>
            </w:p>
            <w:p>
              <w:pPr>
                <w:rPr>
                  <w:szCs w:val="24"/>
                </w:rPr>
              </w:pPr>
              <w:r>
                <w:rPr>
                  <w:szCs w:val="24"/>
                </w:rPr>
                <w:t xml:space="preserve">Jolanta Vasiliauskienė, tel. (0 444) 22 365, el. p. </w:t>
              </w:r>
              <w:r>
                <w:rPr>
                  <w:color w:val="0000FF"/>
                  <w:szCs w:val="24"/>
                  <w:u w:val="single"/>
                </w:rPr>
                <w:t>jolanta.vasiliauskiene@telsiai.lt</w:t>
              </w:r>
              <w:r>
                <w:rPr>
                  <w:szCs w:val="24"/>
                </w:rPr>
                <w:t xml:space="preserve"> </w:t>
              </w:r>
            </w:p>
            <w:p>
              <w:pPr>
                <w:rPr>
                  <w:b/>
                  <w:bCs/>
                  <w:sz w:val="18"/>
                  <w:szCs w:val="18"/>
                  <w:lang w:eastAsia="lt-LT"/>
                </w:rPr>
              </w:pPr>
              <w:r>
                <w:rPr>
                  <w:szCs w:val="24"/>
                </w:rPr>
                <w:t xml:space="preserve">Neringa Staponkienė, tel. +370 678 23601, el. p. </w:t>
              </w:r>
              <w:r>
                <w:rPr>
                  <w:color w:val="0000FF"/>
                  <w:szCs w:val="24"/>
                  <w:u w:val="single"/>
                </w:rPr>
                <w:t>neringa.staponkiene@telsiai.lt</w:t>
              </w:r>
              <w:r>
                <w:rPr>
                  <w:szCs w:val="24"/>
                </w:rPr>
                <w:t xml:space="preserve"> </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pgMar w:top="1134" w:right="851" w:bottom="1134" w:left="1418" w:header="567" w:footer="567" w:gutter="57"/>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widowControl w:val="0"/>
      <w:jc w:val="both"/>
      <w:rPr>
        <w:sz w:val="27"/>
      </w:rPr>
    </w:pPr>
    <w:r>
      <w:rPr>
        <w:sz w:val="27"/>
      </w:rPr>
      <w:fldChar w:fldCharType="begin"/>
    </w:r>
    <w:r>
      <w:rPr>
        <w:sz w:val="27"/>
      </w:rPr>
      <w:instrText xml:space="preserve">PAGE  </w:instrText>
    </w:r>
    <w:r>
      <w:rPr>
        <w:sz w:val="27"/>
      </w:rPr>
      <w:fldChar w:fldCharType="separate"/>
    </w:r>
    <w:r>
      <w:rPr>
        <w:sz w:val="27"/>
      </w:rPr>
      <w:t>1</w:t>
    </w:r>
    <w:r>
      <w:rPr>
        <w:sz w:val="27"/>
      </w:rPr>
      <w:fldChar w:fldCharType="end"/>
    </w:r>
  </w:p>
  <w:p>
    <w:pPr>
      <w:widowControl w:val="0"/>
      <w:ind w:right="360"/>
      <w:jc w:val="both"/>
      <w:rPr>
        <w:sz w:val="27"/>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spacing w:after="120"/>
      <w:ind w:left="283"/>
      <w:jc w:val="both"/>
      <w:rPr>
        <w:sz w:val="23"/>
      </w:rPr>
    </w:pPr>
    <w:r>
      <w:rPr>
        <w:sz w:val="23"/>
      </w:rPr>
      <w:t>11</w:t>
    </w:r>
  </w:p>
  <w:p>
    <w:pPr>
      <w:spacing w:after="120"/>
      <w:ind w:left="283" w:right="360"/>
      <w:jc w:val="both"/>
      <w:rPr>
        <w:sz w:val="23"/>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spacing w:after="120"/>
      <w:ind w:left="283"/>
      <w:jc w:val="both"/>
      <w:rPr>
        <w:sz w:val="23"/>
      </w:rPr>
    </w:pPr>
    <w:r>
      <w:rPr>
        <w:sz w:val="23"/>
      </w:rPr>
      <w:t>222</w:t>
    </w:r>
  </w:p>
  <w:p>
    <w:pPr>
      <w:tabs>
        <w:tab w:val="right" w:pos="9214"/>
      </w:tabs>
      <w:spacing w:after="120"/>
      <w:ind w:left="283" w:right="360"/>
      <w:jc w:val="both"/>
      <w:rPr>
        <w:i/>
        <w:smallCaps/>
        <w:sz w:val="19"/>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4231"/>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6BC28FB6-D169-47E6-BFA2-68FC992F639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959764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4c0184e2786f4443af225d1d38ffaef5" PartId="39a1ad46900449aa8742376d809c06c1"/>
  <Part Type="pastraipa" DocPartId="307c4166b53a4c46955e7d0ee3ad6176" PartId="dc347d91b95a4ca4abc28b207e3b169d">
    <Part Type="punktas" Nr="1" Abbr="1 p." DocPartId="8dae391a91204979b2c619238ba90434" PartId="cf9b2c1c31774dcf9f9dace75479b8ae"/>
    <Part Type="punktas" Nr="2" Abbr="2 p." DocPartId="7de8d2ed71964f73a95661a10ede6099" PartId="704c51ec135a4ed3838d48321cd624b5"/>
    <Part Type="punktas" Nr="3" Abbr="3 p." DocPartId="24533fbd82a94b74976c0ac47280caa2" PartId="b6ffbff8195442269691d59d057f3019"/>
  </Part>
</Parts>
</file>

<file path=customXml/itemProps1.xml><?xml version="1.0" encoding="utf-8"?>
<ds:datastoreItem xmlns:ds="http://schemas.openxmlformats.org/officeDocument/2006/customXml" ds:itemID="{660E2421-0B55-4A5D-884E-E7195EAB2E0F}">
  <ds:schemaRefs>
    <ds:schemaRef ds:uri="http://schemas.openxmlformats.org/officeDocument/2006/bibliography"/>
  </ds:schemaRefs>
</ds:datastoreItem>
</file>

<file path=customXml/itemProps2.xml><?xml version="1.0" encoding="utf-8"?>
<ds:datastoreItem xmlns:ds="http://schemas.openxmlformats.org/officeDocument/2006/customXml" ds:itemID="{09F2E0F8-BD3C-435A-9EB2-2CD857B1F7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318</Words>
  <Characters>2243</Characters>
  <Application>Microsoft Office Word</Application>
  <DocSecurity>4</DocSecurity>
  <Lines>56</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2545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2026-07-01T06:26:00Z</dcterms:created>
  <dc:creator>vartotojas</dc:creator>
  <lastModifiedBy>adlibuser</lastModifiedBy>
  <lastPrinted>2026-06-04T06:54:00Z</lastPrinted>
  <dcterms:modified xsi:type="dcterms:W3CDTF">2026-07-01T06:26:00Z</dcterms:modified>
  <revision>2</revision>
  <dc:title>PROJEKTAS</dc:title>
</coreProperties>
</file>